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73A0F" w14:textId="77777777" w:rsidR="00B764C6" w:rsidRDefault="00F375FE">
      <w:pPr>
        <w:pStyle w:val="Title"/>
      </w:pPr>
      <w:r>
        <w:t>Research Decision Log</w:t>
      </w:r>
    </w:p>
    <w:p w14:paraId="203B3961" w14:textId="77777777" w:rsidR="00B764C6" w:rsidRDefault="00F375FE">
      <w:pPr>
        <w:pStyle w:val="Heading1"/>
      </w:pPr>
      <w:r>
        <w:t>Decision 001 - Study Period</w:t>
      </w:r>
    </w:p>
    <w:p w14:paraId="1B14EF3E" w14:textId="77777777" w:rsidR="00B764C6" w:rsidRDefault="00F375FE">
      <w:r>
        <w:t>Decision:</w:t>
      </w:r>
    </w:p>
    <w:p w14:paraId="0D2AEF6C" w14:textId="77777777" w:rsidR="00B764C6" w:rsidRDefault="00F375FE">
      <w:r>
        <w:t>The long-term forest-change analysis will cover 2001-2025.</w:t>
      </w:r>
    </w:p>
    <w:p w14:paraId="432FCA2A" w14:textId="77777777" w:rsidR="00B764C6" w:rsidRDefault="00F375FE">
      <w:r>
        <w:t>Reason:</w:t>
      </w:r>
    </w:p>
    <w:p w14:paraId="1B6B957C" w14:textId="77777777" w:rsidR="00B764C6" w:rsidRDefault="00F375FE">
      <w:r>
        <w:t xml:space="preserve">Hansen Global Forest Change provides annual forest-loss information for this period, allowing a long-term comparison </w:t>
      </w:r>
      <w:r>
        <w:t>before and after the 2017 Rohingya influx.</w:t>
      </w:r>
    </w:p>
    <w:p w14:paraId="095282ED" w14:textId="77777777" w:rsidR="00B764C6" w:rsidRDefault="00F375FE">
      <w:pPr>
        <w:pStyle w:val="Heading1"/>
      </w:pPr>
      <w:r>
        <w:t>Decision 002 - Treatment Date</w:t>
      </w:r>
    </w:p>
    <w:p w14:paraId="3D757F83" w14:textId="77777777" w:rsidR="00B764C6" w:rsidRDefault="00F375FE">
      <w:r>
        <w:t>Decision:</w:t>
      </w:r>
    </w:p>
    <w:p w14:paraId="5FA98E05" w14:textId="77777777" w:rsidR="00B764C6" w:rsidRDefault="00F375FE">
      <w:r>
        <w:t>25 August 2017 will be treated as the beginning of the major Rohingya influx.</w:t>
      </w:r>
    </w:p>
    <w:p w14:paraId="06BA2FF5" w14:textId="77777777" w:rsidR="00B764C6" w:rsidRDefault="00F375FE">
      <w:r>
        <w:t>Analysis periods:</w:t>
      </w:r>
    </w:p>
    <w:p w14:paraId="2FCE9130" w14:textId="77777777" w:rsidR="00B764C6" w:rsidRDefault="00F375FE">
      <w:r>
        <w:t>Pre-treatment: 2001-2016</w:t>
      </w:r>
    </w:p>
    <w:p w14:paraId="22A4A758" w14:textId="77777777" w:rsidR="00B764C6" w:rsidRDefault="00F375FE">
      <w:r>
        <w:t>Transition year: 2017</w:t>
      </w:r>
    </w:p>
    <w:p w14:paraId="21B4AAB2" w14:textId="77777777" w:rsidR="00B764C6" w:rsidRDefault="00F375FE">
      <w:r>
        <w:t>Post-treatment: 2018-2025</w:t>
      </w:r>
    </w:p>
    <w:p w14:paraId="2B052C55" w14:textId="77777777" w:rsidR="00B764C6" w:rsidRDefault="00F375FE">
      <w:pPr>
        <w:pStyle w:val="Heading1"/>
      </w:pPr>
      <w:r>
        <w:t>Deci</w:t>
      </w:r>
      <w:r>
        <w:t>sion 003 - Geographic Scope</w:t>
      </w:r>
    </w:p>
    <w:p w14:paraId="00827F2A" w14:textId="77777777" w:rsidR="00B764C6" w:rsidRDefault="00F375FE">
      <w:r>
        <w:t>Decision:</w:t>
      </w:r>
    </w:p>
    <w:p w14:paraId="29553045" w14:textId="77777777" w:rsidR="00B764C6" w:rsidRDefault="00F375FE">
      <w:r>
        <w:t>The study will focus on Ukhiya and Teknaf Upazilas in Cox's Bazar District, including Rohingya camp areas, surrounding forests, protected and reserve forests, wildlife corridors, and comparable control forests.</w:t>
      </w:r>
    </w:p>
    <w:p w14:paraId="4429A1E1" w14:textId="77777777" w:rsidR="00B764C6" w:rsidRDefault="00F375FE">
      <w:pPr>
        <w:pStyle w:val="Heading1"/>
      </w:pPr>
      <w:r>
        <w:t>Decisio</w:t>
      </w:r>
      <w:r>
        <w:t>n 004 - Carbon Scope</w:t>
      </w:r>
    </w:p>
    <w:p w14:paraId="0C341FC7" w14:textId="77777777" w:rsidR="00B764C6" w:rsidRDefault="00F375FE">
      <w:r>
        <w:t>Decision:</w:t>
      </w:r>
    </w:p>
    <w:p w14:paraId="46B3C7CB" w14:textId="77777777" w:rsidR="00B764C6" w:rsidRDefault="00F375FE">
      <w:r>
        <w:t>The research will estimate above-ground biomass carbon loss rather than total ecosystem carbon loss.</w:t>
      </w:r>
    </w:p>
    <w:p w14:paraId="7A04A0EB" w14:textId="77777777" w:rsidR="00B764C6" w:rsidRDefault="00F375FE">
      <w:r>
        <w:t>Reason:</w:t>
      </w:r>
    </w:p>
    <w:p w14:paraId="1E9E3FF9" w14:textId="77777777" w:rsidR="00B764C6" w:rsidRDefault="00F375FE">
      <w:r>
        <w:t>The primary biomass datasets do not fully represent soil carbon, below-ground biomass, litter, and deadwood carbon.</w:t>
      </w:r>
    </w:p>
    <w:p w14:paraId="3808FCD0" w14:textId="77777777" w:rsidR="00B764C6" w:rsidRDefault="00F375FE">
      <w:pPr>
        <w:pStyle w:val="Heading1"/>
      </w:pPr>
      <w:r>
        <w:lastRenderedPageBreak/>
        <w:t>Decision 005 - Causal Analysis Period</w:t>
      </w:r>
    </w:p>
    <w:p w14:paraId="4BD78ABC" w14:textId="77777777" w:rsidR="00B764C6" w:rsidRDefault="00F375FE">
      <w:r>
        <w:t>Decision:</w:t>
      </w:r>
    </w:p>
    <w:p w14:paraId="26F2199A" w14:textId="77777777" w:rsidR="00B764C6" w:rsidRDefault="00F375FE">
      <w:r>
        <w:t>The primary causal comparison will use 2001-2016 as the pre-treatment period and 2018-2025 as the post-treatment period. The year 2017 will be treated separately as a transition year.</w:t>
      </w:r>
    </w:p>
    <w:p w14:paraId="30CCF17A" w14:textId="77777777" w:rsidR="00B764C6" w:rsidRDefault="00F375FE">
      <w:pPr>
        <w:pStyle w:val="Heading1"/>
      </w:pPr>
      <w:r>
        <w:t xml:space="preserve">Decision 006 - Research </w:t>
      </w:r>
      <w:r>
        <w:t>Workflow</w:t>
      </w:r>
    </w:p>
    <w:p w14:paraId="4158A891" w14:textId="77777777" w:rsidR="00B764C6" w:rsidRDefault="00F375FE">
      <w:r>
        <w:t>Decision:</w:t>
      </w:r>
    </w:p>
    <w:p w14:paraId="26A2D8AA" w14:textId="77777777" w:rsidR="00F375FE" w:rsidRDefault="00F375FE">
      <w:r>
        <w:t>Each research step must be completed, documented, validated, and added to the report before the next step begins.</w:t>
      </w:r>
    </w:p>
    <w:p w14:paraId="014794F4" w14:textId="505EAA24" w:rsidR="00B764C6" w:rsidRDefault="00B764C6" w:rsidP="00F375FE">
      <w:pPr>
        <w:pStyle w:val="Heading1"/>
      </w:pPr>
    </w:p>
    <w:p w14:paraId="5AB207FF" w14:textId="71966B1D" w:rsidR="00F375FE" w:rsidRDefault="00F375FE" w:rsidP="00F375FE">
      <w:pPr>
        <w:pStyle w:val="Heading1"/>
      </w:pPr>
      <w:r>
        <w:t>Decision 007 - Expected Research Outputs</w:t>
      </w:r>
    </w:p>
    <w:p w14:paraId="32983E7B" w14:textId="7C45F34C" w:rsidR="00F375FE" w:rsidRDefault="00F375FE" w:rsidP="00F375FE">
      <w:r>
        <w:t>Decision:</w:t>
      </w:r>
    </w:p>
    <w:p w14:paraId="2293966F" w14:textId="57234466" w:rsidR="00F375FE" w:rsidRDefault="00F375FE" w:rsidP="00F375FE">
      <w:r>
        <w:t>The research will produce annual forest-loss maps, fragmentation metrics, above-ground carbon-loss estimates, explainable machine-learning results, causal-effect estimates, risk maps, conservation-priority maps, and a complete reproducible research report.</w:t>
      </w:r>
    </w:p>
    <w:p w14:paraId="7F03EE58" w14:textId="0771CF88" w:rsidR="00F375FE" w:rsidRDefault="00F375FE" w:rsidP="00F375FE">
      <w:pPr>
        <w:pStyle w:val="Heading1"/>
      </w:pPr>
      <w:r>
        <w:t>Decision 008 - Study Delimitation</w:t>
      </w:r>
    </w:p>
    <w:p w14:paraId="34334569" w14:textId="02B430EE" w:rsidR="00F375FE" w:rsidRDefault="00F375FE" w:rsidP="00F375FE">
      <w:r>
        <w:t>Decision:</w:t>
      </w:r>
    </w:p>
    <w:p w14:paraId="55C5DC52" w14:textId="420CF052" w:rsidR="00F375FE" w:rsidRDefault="00F375FE" w:rsidP="00F375FE">
      <w:r>
        <w:t>The study will focus on landscape-level forest and above-ground carbon impacts in Ukhiya and Teknaf. It will not claim to measure total ecosystem carbon or the complete environmental, social, or economic impact of the Rohingya influx.</w:t>
      </w:r>
    </w:p>
    <w:p w14:paraId="056C6085" w14:textId="77777777" w:rsidR="00F375FE" w:rsidRPr="00F375FE" w:rsidRDefault="00F375FE" w:rsidP="00F375FE"/>
    <w:p/>
    <w:p>
      <w:pPr>
        <w:pStyle w:val="Heading1"/>
      </w:pPr>
      <w:r>
        <w:t>Decision 009 — Causal Novelty</w:t>
      </w:r>
    </w:p>
    <w:p>
      <w:r>
        <w:t>Decision:</w:t>
      </w:r>
    </w:p>
    <w:p>
      <w:r>
        <w:t>The research will not claim to be the first causal analysis of Rohingya-related forest loss.</w:t>
      </w:r>
    </w:p>
    <w:p>
      <w:r>
        <w:t>Reason:</w:t>
      </w:r>
    </w:p>
    <w:p>
      <w:r>
        <w:t>Dampha et al. (2022) already applied Difference-in-Differences to estimate additional forest loss associated with camp opening.</w:t>
      </w:r>
    </w:p>
    <w:p>
      <w:r>
        <w:t>Proposed improvement:</w:t>
      </w:r>
    </w:p>
    <w:p>
      <w:r>
        <w:t>The current study will use a longer annual panel, time-varying camp exposure, SDID, fragmentation outcomes, carbon attribution, spatial robustness and explainable machine learning.</w:t>
      </w:r>
    </w:p>
    <w:sectPr w:rsidR="00F375FE" w:rsidRPr="00F375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64C6"/>
    <w:rsid w:val="00CB0664"/>
    <w:rsid w:val="00F375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501D90"/>
  <w14:defaultImageDpi w14:val="300"/>
  <w15:docId w15:val="{244059BE-6EEB-4DAF-8079-2B8C97F76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2026-07-12T07:14:00Z</dcterms:modified>
  <cp:category/>
</cp:coreProperties>
</file>