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P002 — Full-Text Extraction</w:t>
      </w:r>
    </w:p>
    <w:p>
      <w:r>
        <w:t>Dampha, N. K.; Salemi, C.; Polasky, S. (2022). Rohingya Refugee Camps and Forest Loss in Cox's Bazar, Bangladesh: An Inquiry Using Remote Sensing and Econometric Approaches. World Bank Policy Research Working Paper No. 9948.</w:t>
      </w:r>
    </w:p>
    <w:p>
      <w:pPr>
        <w:pStyle w:val="Heading1"/>
      </w:pPr>
      <w:r>
        <w:t>1. Verified Citation</w:t>
      </w:r>
    </w:p>
    <w:p>
      <w:r>
        <w:t>Dampha, N. K., Salemi, C., &amp; Polasky, S. (2022). Rohingya refugee camps and forest loss in Cox's Bazar, Bangladesh: An inquiry using remote sensing and econometric approaches. Policy Research Working Paper No. 9948. World Bank. https://doi.org/10.1596/1813-9450-9948</w:t>
      </w:r>
    </w:p>
    <w:p>
      <w:pPr>
        <w:pStyle w:val="Heading1"/>
      </w:pPr>
      <w:r>
        <w:t>2. Publication Status</w:t>
      </w:r>
    </w:p>
    <w:p>
      <w:r>
        <w:t>World Bank Policy Research Working Paper (work-in-progress). Not peer-reviewed journal article. February 2022. Official open-access PDF reviewed from World Bank Documents &amp; Reports.</w:t>
      </w:r>
    </w:p>
    <w:p>
      <w:pPr>
        <w:pStyle w:val="Heading1"/>
      </w:pPr>
      <w:r>
        <w:t>3. Research Objective</w:t>
      </w:r>
    </w:p>
    <w:p>
      <w:r>
        <w:t>To evaluate whether hosting a large Rohingya refugee population in camps caused additional forest-cover change in Cox's Bazar relative to a counterfactual without camps, distinguishing direct camp-related clearing from indirect host-community responses.</w:t>
      </w:r>
    </w:p>
    <w:p>
      <w:pPr>
        <w:pStyle w:val="Heading1"/>
      </w:pPr>
      <w:r>
        <w:t>4. Study Area</w:t>
      </w:r>
    </w:p>
    <w:p>
      <w:r>
        <w:t>Cox's Bazar District, Bangladesh, using official Rohingya camp boundaries opened after the 2017 influx and surrounding distance buffers.</w:t>
      </w:r>
    </w:p>
    <w:p>
      <w:pPr>
        <w:pStyle w:val="Heading1"/>
      </w:pPr>
      <w:r>
        <w:t>5. Study Period</w:t>
      </w:r>
    </w:p>
    <w:p>
      <w:r>
        <w:t>LULC classification years: 2010, 2014, February 2017 (pre-arrival), and February 2020 (post-arrival). Pre-treatment years for DiD: 2010, 2014, 2017. Post-treatment: 2020. Population series 2010–2020; nightlights 2014–2020.</w:t>
      </w:r>
    </w:p>
    <w:p>
      <w:pPr>
        <w:pStyle w:val="Heading1"/>
      </w:pPr>
      <w:r>
        <w:t>6. Datasets</w:t>
      </w:r>
    </w:p>
    <w:p>
      <w:r>
        <w:t>Landsat imagery (30 m); official camp boundaries; Protected Planet WDPA protected-area data; WorldPop population (approx. 100 m); VIIRS nightlights; road-distance data (Google Maps API); random sample of 10,000 pixels across the district.</w:t>
      </w:r>
    </w:p>
    <w:p>
      <w:pPr>
        <w:pStyle w:val="Heading1"/>
      </w:pPr>
      <w:r>
        <w:t>7. Sampling and Panel Design</w:t>
      </w:r>
    </w:p>
    <w:p>
      <w:r>
        <w:t>Random sample of 10,000 pixels. Spatially explicit pixel–year panel with geodesic distance to nearest post-2017 camp border, protected-area status, road distance, LULC class, population, and nightlights. Treatment sample n≈1,511 pixels; control n≈413 pixels (Table 1).</w:t>
      </w:r>
    </w:p>
    <w:p>
      <w:pPr>
        <w:pStyle w:val="Heading1"/>
      </w:pPr>
      <w:r>
        <w:t>8. Image Preprocessing</w:t>
      </w:r>
    </w:p>
    <w:p>
      <w:r>
        <w:t>ArcGIS Pro (v2.4.0) pixel-based supervised classification workflow. Dry-season (February) imagery emphasized for vegetation consistency, following Hassan et al. (2018). NDVI computed to support vegetation-change interpretation.</w:t>
      </w:r>
    </w:p>
    <w:p>
      <w:pPr>
        <w:pStyle w:val="Heading1"/>
      </w:pPr>
      <w:r>
        <w:t>9. Land-Cover Classification</w:t>
      </w:r>
    </w:p>
    <w:p>
      <w:r>
        <w:t>Six classes: forest/grassland, settlement/developed, cultivated/agriculture, aquaculture/fish ponds, bare ground, and water. Algorithms compared: Random Forest (RF), Maximum Likelihood, and SVM. RF selected as best-performing. Authors note medium classification accuracy concern between bare ground and cultivated land, but higher confidence for forests and settlements.</w:t>
      </w:r>
    </w:p>
    <w:p>
      <w:pPr>
        <w:pStyle w:val="Heading1"/>
      </w:pPr>
      <w:r>
        <w:t>10. Treatment Definition</w:t>
      </w:r>
    </w:p>
    <w:p>
      <w:r>
        <w:t>Pixels 0–5 km from the nearest official camp boundary opened after the 2017 Rohingya arrival.</w:t>
      </w:r>
    </w:p>
    <w:p>
      <w:pPr>
        <w:pStyle w:val="Heading1"/>
      </w:pPr>
      <w:r>
        <w:t>11. Control Definition</w:t>
      </w:r>
    </w:p>
    <w:p>
      <w:r>
        <w:t>Pixels 10–15 km from the nearest camp boundary. Authors argue mobility restrictions limit Rohingya–host interaction beyond this distance.</w:t>
      </w:r>
    </w:p>
    <w:p>
      <w:pPr>
        <w:pStyle w:val="Heading1"/>
      </w:pPr>
      <w:r>
        <w:t>12. Difference-in-Differences Model</w:t>
      </w:r>
    </w:p>
    <w:p>
      <w:r>
        <w:t>Linear probability DiD with pixel and year fixed effects (Equation 1): Pr(y_it^c=1)=α+β(treated_i×after_t)+γ_t+ρ_i+u_it. Continuous outcomes for ln(population) and nightlights (Equation 2) use the same DiD structure.</w:t>
      </w:r>
    </w:p>
    <w:p>
      <w:pPr>
        <w:pStyle w:val="Heading1"/>
      </w:pPr>
      <w:r>
        <w:t>13. Causal Assumptions</w:t>
      </w:r>
    </w:p>
    <w:p>
      <w:r>
        <w:t>Parallel trends between treatment and control buffers; treatment timing tied to 2017 camp opening; pixel FE absorb time-invariant confounders (e.g., protection status, slope); year FE absorb common district shocks. Authors explicitly do not cluster standard errors.</w:t>
      </w:r>
    </w:p>
    <w:p>
      <w:pPr>
        <w:pStyle w:val="Heading1"/>
      </w:pPr>
      <w:r>
        <w:t>14. Robustness Tests</w:t>
      </w:r>
    </w:p>
    <w:p>
      <w:r>
        <w:t>Placebo treatment years for forest/settlement (2014 and 2017) after dropping 2020; placebo years for population/nightlights (2015 and 2016); omit 0–1 km pixels to check unofficial camp expansion; heterogeneity by protected vs non-protected areas.</w:t>
      </w:r>
    </w:p>
    <w:p>
      <w:pPr>
        <w:pStyle w:val="Heading1"/>
      </w:pPr>
      <w:r>
        <w:t>15. Main Findings</w:t>
      </w:r>
    </w:p>
    <w:p>
      <w:r>
        <w:t>District forest/grassland declined sharply after 2017. Camp interiors lost most pre-existing forest. DiD attributes additional forest loss and settlement expansion to proximity to camps relative to the distant control buffer. Losses concentrate outside protected areas. Evidence supports host-community in-migration / settlement expansion as an important channel.</w:t>
      </w:r>
    </w:p>
    <w:p>
      <w:pPr>
        <w:pStyle w:val="Heading1"/>
      </w:pPr>
      <w:r>
        <w:t>16. Key Numerical Results</w:t>
      </w:r>
    </w:p>
    <w:p>
      <w:r>
        <w:t>District forest/grassland net change 2017–2020: −12,807.99 ha (−19.57%). Within official camp boundaries: ~1,337 ha forest lost (54% forested pre-2017 vs 2% in 2020). DiD: +7.6 pp probability of leaving forest in 0–5 km vs 10–15 km → ~2,653.7 ha attributable forest loss. Of this, ~1,082.4 ha in 0–1 km and ~1,571.3 ha in 1–5 km. Settlement probability +13 pp in treatment; authors also report settlement-area conversion figures with internal arithmetic inconsistency (see §23). Mean NDVI within camps declined ~98% from Feb 2017 to Feb 2020.</w:t>
      </w:r>
    </w:p>
    <w:p>
      <w:pPr>
        <w:pStyle w:val="Heading1"/>
      </w:pPr>
      <w:r>
        <w:t>17. Protected-Area Analysis</w:t>
      </w:r>
    </w:p>
    <w:p>
      <w:r>
        <w:t>Heterogeneity analysis repeats DiD separately for protected and non-protected pixels. Forest losses associated with camps are concentrated outside protected areas; settlement expansion is also largely outside protected areas.</w:t>
      </w:r>
    </w:p>
    <w:p>
      <w:pPr>
        <w:pStyle w:val="Heading1"/>
      </w:pPr>
      <w:r>
        <w:t>18. Population and Nightlights Analysis</w:t>
      </w:r>
    </w:p>
    <w:p>
      <w:r>
        <w:t>DiD on ln(population) and VIIRS nightlights tests whether camps attract people and economic activity. Parallel-trend placebos used for 2015/2016. Results interpreted as evidence of host-community responses near camps.</w:t>
      </w:r>
    </w:p>
    <w:p>
      <w:pPr>
        <w:pStyle w:val="Heading1"/>
      </w:pPr>
      <w:r>
        <w:t>19. Authors’ Interpretation</w:t>
      </w:r>
    </w:p>
    <w:p>
      <w:r>
        <w:t>Camps stimulate additional forest loss beyond camp footprints through host-community settlement expansion and related activity seeking economic opportunity and access to services/resources, not only through refugee fuelwood collection.</w:t>
      </w:r>
    </w:p>
    <w:p>
      <w:pPr>
        <w:pStyle w:val="Heading1"/>
      </w:pPr>
      <w:r>
        <w:t>20. Policy Implications</w:t>
      </w:r>
    </w:p>
    <w:p>
      <w:r>
        <w:t>Need to manage both camp footprints and surrounding host landscapes; protect sensitive areas; consider livelihood and energy interventions that reduce pressure on forests while recognizing market and migration responses.</w:t>
      </w:r>
    </w:p>
    <w:p>
      <w:pPr>
        <w:pStyle w:val="Heading1"/>
      </w:pPr>
      <w:r>
        <w:t>21. Author-Stated Limitations</w:t>
      </w:r>
    </w:p>
    <w:p>
      <w:r>
        <w:t>Coarse Landsat resolution; classification confusion between bare ground and cultivated land; appendices available only on request; limited temporal LULC dates; descriptive imbalance between treatment and control buffers.</w:t>
      </w:r>
    </w:p>
    <w:p>
      <w:pPr>
        <w:pStyle w:val="Heading1"/>
      </w:pPr>
      <w:r>
        <w:t>22. Limitations Identified by Us</w:t>
      </w:r>
    </w:p>
    <w:p>
      <w:r>
        <w:t>Only four LULC years and one post-treatment observation; static distance-based exposure; possible spillover into control; baseline imbalance; no spatially clustered SEs; no fragmentation metrics; no carbon attribution; no SHAP/XAI; no SDID/synthetic weighting; detailed appendices not publicly attached.</w:t>
      </w:r>
    </w:p>
    <w:p>
      <w:pPr>
        <w:pStyle w:val="Heading1"/>
      </w:pPr>
      <w:r>
        <w:t>23. Numerical Inconsistencies</w:t>
      </w:r>
    </w:p>
    <w:p>
      <w:r>
        <w:t>Settlement DiD narrative reports an 'additional 7,681.9 hectares' converted to settlement, but footnote arithmetic later yields 4,539.3 ha (12,221.2 − 7,681.9). Forest attributable loss of 2,653.7 ha is internally consistent with the stated 7.6 pp × treatment-area calculation. Settlement-area reporting should be verified cautiously.</w:t>
      </w:r>
    </w:p>
    <w:p>
      <w:pPr>
        <w:pStyle w:val="Heading1"/>
      </w:pPr>
      <w:r>
        <w:t>24. Relevance to Our Research</w:t>
      </w:r>
    </w:p>
    <w:p>
      <w:r>
        <w:t>Principal existing causal benchmark for Rohingya-related forest loss in Cox's Bazar. Directly informs treatment/control design, DiD interpretation, and the need for longer panels, time-varying exposure, SDID, fragmentation, carbon, and XAI extensions.</w:t>
      </w:r>
    </w:p>
    <w:p>
      <w:pPr>
        <w:pStyle w:val="Heading1"/>
      </w:pPr>
      <w:r>
        <w:t>25. Research Gap</w:t>
      </w:r>
    </w:p>
    <w:p>
      <w:r>
        <w:t>Does not provide a 2001–2025 annual panel, time-varying camp exposure, SDID weighting, fragmentation outcomes, above-ground carbon attribution, explainable driver analysis, or conservation-priority mapping.</w:t>
      </w:r>
    </w:p>
    <w:p>
      <w:pPr>
        <w:pStyle w:val="Heading1"/>
      </w:pPr>
      <w:r>
        <w:t>26. How This Paper Will Be Used</w:t>
      </w:r>
    </w:p>
    <w:p>
      <w:r>
        <w:t>As the core causal comparator (not as a claim of first causal study). Used to motivate methodological improvements and to benchmark attributable forest-loss magnitudes.</w:t>
      </w:r>
    </w:p>
    <w:p>
      <w:pPr>
        <w:pStyle w:val="Heading1"/>
      </w:pPr>
      <w:r>
        <w:t>27. Important Figures and Tables</w:t>
      </w:r>
    </w:p>
    <w:p>
      <w:r>
        <w:t>Table 1 descriptive stats by treatment/control; Table 2 district LULC change; Figures 3–5 LULC/NDVI maps; Figures 6–7 DiD coefficients and 0–1 km robustness; protected-area heterogeneity results; Appendices A1–A3 (contact author).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