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2"/>
        </w:rPr>
        <w:t>Literature Notes — P001 Update</w:t>
      </w:r>
    </w:p>
    <w:p>
      <w:pPr>
        <w:jc w:val="center"/>
      </w:pPr>
      <w:r>
        <w:rPr>
          <w:i/>
          <w:color w:val="5B6573"/>
          <w:sz w:val="20"/>
        </w:rPr>
        <w:t>Theme 1: Forest and Land-Cover Change</w:t>
      </w:r>
    </w:p>
    <w:p>
      <w:pPr>
        <w:pStyle w:val="Heading1"/>
      </w:pPr>
      <w:r>
        <w:t>P001 — Hassan et al. (2018)</w:t>
      </w:r>
    </w:p>
    <w:p>
      <w:pPr>
        <w:pStyle w:val="Heading2"/>
      </w:pPr>
      <w:r>
        <w:t>Study purpose</w:t>
      </w:r>
    </w:p>
    <w:p>
      <w:r>
        <w:t>Quantified the expansion of three major Rohingya camp concentrations and associated forest-cover change in Teknaf using a pre-influx/post-influx remote-sensing comparison.</w:t>
      </w:r>
    </w:p>
    <w:p>
      <w:pPr>
        <w:pStyle w:val="Heading2"/>
      </w:pPr>
      <w:r>
        <w:t>Data and method</w:t>
      </w:r>
    </w:p>
    <w:p>
      <w:r>
        <w:t>Sentinel-2A/2B imagery at 10 m, QuickBird, SRTM, GPS/spatial-video field samples, Google Earth and institutional population/camp data. A Random Forest classifier used 16 spectral and topographic predictors, with six initial classes merged to forest, nonforest and camp. Accuracy was assessed using OOB estimates and independent reference samples.</w:t>
      </w:r>
    </w:p>
    <w:p>
      <w:pPr>
        <w:pStyle w:val="Heading2"/>
      </w:pPr>
      <w:r>
        <w:t>Main contribution</w:t>
      </w:r>
    </w:p>
    <w:p>
      <w:r>
        <w:t>The paper established an early quantitative benchmark for the 2017 influx. Across Kutupalong–Balukhali, Unchiprang and Nayapara–Leda, net camp area increased by 1,356 ha and forest declined by 2,283 ha between December 2016 and December 2017. Kutupalong–Balukhali alone lost 2,060 ha of forest. Overall accuracies exceeded 94%, with Kappa values of 0.93–0.94.</w:t>
      </w:r>
    </w:p>
    <w:p>
      <w:pPr>
        <w:pStyle w:val="Heading2"/>
      </w:pPr>
      <w:r>
        <w:t>Main limitation</w:t>
      </w:r>
    </w:p>
    <w:p>
      <w:r>
        <w:t>The analysis is a short-term two-date descriptive comparison. It does not establish a counterfactual or causal effect, calculate fragmentation metrics, estimate biomass/carbon loss, or provide a long annual trajectory. Cloud cover and limited post-influx high-resolution validation imagery also constrained the analysis.</w:t>
      </w:r>
    </w:p>
    <w:p>
      <w:pPr>
        <w:pStyle w:val="Heading2"/>
      </w:pPr>
      <w:r>
        <w:t>Relevance to proposed research</w:t>
      </w:r>
    </w:p>
    <w:p>
      <w:r>
        <w:t>P001 is a foundational direct comparator and supports the use of Sentinel imagery, Random Forest classification and field reference data. Our research will extend it through a 2001–2025 annual record, fragmentation and carbon accounting, spatially validated explainable ML, time-varying camp exposure, and SDID-based causal attribution.</w:t>
      </w:r>
    </w:p>
    <w:p>
      <w:pPr>
        <w:pStyle w:val="Heading2"/>
      </w:pPr>
      <w:r>
        <w:t>Evidence note for the literature review</w:t>
      </w:r>
    </w:p>
    <w:p>
      <w:r>
        <w:t>Hassan et al. (2018) provided one of the earliest high-resolution quantitative assessments of post-influx forest conversion in Teknaf. Their results documented rapid settlement expansion and a net loss of 2,283 ha of forest around three major camp zones within roughly one year. However, the two-date design remained descriptive and did not estimate a counterfactual, fragmentation effects or carbon consequences. This makes the study both a key empirical benchmark and a clear basis for the proposed integrated long-term analysis.</w:t>
      </w:r>
    </w:p>
    <w:p>
      <w:pPr>
        <w:pStyle w:val="Heading2"/>
      </w:pPr>
      <w:r>
        <w:t>Verified citation</w:t>
      </w:r>
    </w:p>
    <w:p>
      <w:r>
        <w:t xml:space="preserve">Hassan, M. M., Smith, A. C., Walker, K., Rahman, M. K., &amp; Southworth, J. (2018). Rohingya refugee crisis and forest cover change in Teknaf, Bangladesh. Remote Sensing, 10(5), 689. </w:t>
      </w:r>
      <w:hyperlink r:id="rId11">
        <w:r>
          <w:rPr>
            <w:color w:val="0563C1"/>
            <w:u w:val="single"/>
          </w:rPr>
          <w:t>https://doi.org/10.3390/rs10050689</w:t>
        </w:r>
      </w:hyperlink>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P001 evidence extraction | Prepared 13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Rohingya Forest Impact Research — Literature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w:hAnsi="Aptos"/>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20"/>
      <w:ind w:left="259" w:right="259"/>
    </w:pPr>
    <w:rPr>
      <w:rFonts w:ascii="Aptos" w:hAnsi="Aptos"/>
      <w:color w:val="1F2937"/>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3390/rs100506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