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2"/>
        </w:rPr>
        <w:t>P001 — Full-Text Extraction Notes</w:t>
      </w:r>
    </w:p>
    <w:p>
      <w:pPr>
        <w:jc w:val="center"/>
      </w:pPr>
      <w:r>
        <w:rPr>
          <w:i/>
          <w:color w:val="5B6573"/>
          <w:sz w:val="20"/>
        </w:rPr>
        <w:t>Hassan et al. (2018), Rohingya Refugee Crisis and Forest Cover Change in Teknaf, Bangladesh</w:t>
      </w:r>
    </w:p>
    <w:tbl>
      <w:tblPr>
        <w:tblW w:type="auto" w:w="0"/>
        <w:jc w:val="center"/>
        <w:tblLook w:firstColumn="1" w:firstRow="1" w:lastColumn="0" w:lastRow="0" w:noHBand="0" w:noVBand="1" w:val="04A0"/>
      </w:tblPr>
      <w:tblGrid>
        <w:gridCol w:w="10166"/>
      </w:tblGrid>
      <w:tr>
        <w:tc>
          <w:tcPr>
            <w:tcW w:type="dxa" w:w="10166"/>
            <w:shd w:fill="D9EAF7"/>
            <w:vAlign w:val="center"/>
          </w:tcPr>
          <w:p>
            <w:pPr>
              <w:spacing w:after="0"/>
            </w:pPr>
            <w:r>
              <w:rPr>
                <w:b/>
                <w:color w:val="1F4E78"/>
                <w:sz w:val="22"/>
              </w:rPr>
              <w:t>Evidence status: VERIFIED AND FULLY EXTRACTED</w:t>
            </w:r>
          </w:p>
          <w:p>
            <w:pPr>
              <w:spacing w:after="0"/>
            </w:pPr>
            <w:r>
              <w:t>Foundational two-date remote-sensing study. Strong descriptive benchmark; not a causal-attribution study.</w:t>
            </w:r>
          </w:p>
        </w:tc>
      </w:tr>
    </w:tbl>
    <w:p>
      <w:pPr>
        <w:pStyle w:val="Heading1"/>
      </w:pPr>
      <w:r>
        <w:t>1. Verified Citation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5083"/>
            <w:shd w:fill="1F4E78"/>
          </w:tcPr>
          <w:p>
            <w:pPr>
              <w:spacing w:after="0"/>
            </w:pPr>
            <w:r/>
            <w:r>
              <w:rPr>
                <w:b/>
                <w:color w:val="FFFFFF"/>
                <w:sz w:val="19"/>
              </w:rPr>
              <w:t>Field</w:t>
            </w:r>
          </w:p>
        </w:tc>
        <w:tc>
          <w:tcPr>
            <w:tcW w:type="dxa" w:w="5083"/>
            <w:shd w:fill="1F4E78"/>
          </w:tcPr>
          <w:p>
            <w:pPr>
              <w:spacing w:after="0"/>
            </w:pPr>
            <w:r/>
            <w:r>
              <w:rPr>
                <w:b/>
                <w:color w:val="FFFFFF"/>
                <w:sz w:val="19"/>
              </w:rPr>
              <w:t>Verified value</w:t>
            </w:r>
          </w:p>
        </w:tc>
      </w:tr>
      <w:tr>
        <w:tc>
          <w:tcPr>
            <w:tcW w:type="dxa" w:w="5083"/>
          </w:tcPr>
          <w:p>
            <w:pPr>
              <w:spacing w:after="0"/>
            </w:pPr>
            <w:r/>
            <w:r>
              <w:rPr>
                <w:b/>
                <w:color w:val="1F4E78"/>
                <w:sz w:val="19"/>
              </w:rPr>
              <w:t>Paper ID</w:t>
            </w:r>
          </w:p>
        </w:tc>
        <w:tc>
          <w:tcPr>
            <w:tcW w:type="dxa" w:w="5083"/>
          </w:tcPr>
          <w:p>
            <w:pPr>
              <w:spacing w:after="0"/>
            </w:pPr>
            <w:r/>
            <w:r>
              <w:rPr>
                <w:b w:val="0"/>
                <w:sz w:val="19"/>
              </w:rPr>
              <w:t>P001</w:t>
            </w:r>
          </w:p>
        </w:tc>
      </w:tr>
      <w:tr>
        <w:tc>
          <w:tcPr>
            <w:tcW w:type="dxa" w:w="5083"/>
          </w:tcPr>
          <w:p>
            <w:pPr>
              <w:spacing w:after="0"/>
            </w:pPr>
            <w:r/>
            <w:r>
              <w:rPr>
                <w:b/>
                <w:color w:val="1F4E78"/>
                <w:sz w:val="19"/>
              </w:rPr>
              <w:t>APA citation</w:t>
            </w:r>
          </w:p>
        </w:tc>
        <w:tc>
          <w:tcPr>
            <w:tcW w:type="dxa" w:w="5083"/>
          </w:tcPr>
          <w:p>
            <w:pPr>
              <w:spacing w:after="0"/>
            </w:pPr>
            <w:r/>
            <w:r>
              <w:rPr>
                <w:b w:val="0"/>
                <w:sz w:val="19"/>
              </w:rPr>
              <w:t>Hassan, M. M., Smith, A. C., Walker, K., Rahman, M. K., &amp; Southworth, J. (2018). Rohingya refugee crisis and forest cover change in Teknaf, Bangladesh. Remote Sensing, 10(5), 689. https://doi.org/10.3390/rs10050689</w:t>
            </w:r>
          </w:p>
        </w:tc>
      </w:tr>
      <w:tr>
        <w:tc>
          <w:tcPr>
            <w:tcW w:type="dxa" w:w="5083"/>
          </w:tcPr>
          <w:p>
            <w:pPr>
              <w:spacing w:after="0"/>
            </w:pPr>
            <w:r/>
            <w:r>
              <w:rPr>
                <w:b/>
                <w:color w:val="1F4E78"/>
                <w:sz w:val="19"/>
              </w:rPr>
              <w:t>Journal / publisher</w:t>
            </w:r>
          </w:p>
        </w:tc>
        <w:tc>
          <w:tcPr>
            <w:tcW w:type="dxa" w:w="5083"/>
          </w:tcPr>
          <w:p>
            <w:pPr>
              <w:spacing w:after="0"/>
            </w:pPr>
            <w:r/>
            <w:r>
              <w:rPr>
                <w:b w:val="0"/>
                <w:sz w:val="19"/>
              </w:rPr>
              <w:t>Remote Sensing / MDPI</w:t>
            </w:r>
          </w:p>
        </w:tc>
      </w:tr>
      <w:tr>
        <w:tc>
          <w:tcPr>
            <w:tcW w:type="dxa" w:w="5083"/>
          </w:tcPr>
          <w:p>
            <w:pPr>
              <w:spacing w:after="0"/>
            </w:pPr>
            <w:r/>
            <w:r>
              <w:rPr>
                <w:b/>
                <w:color w:val="1F4E78"/>
                <w:sz w:val="19"/>
              </w:rPr>
              <w:t>Publication timeline</w:t>
            </w:r>
          </w:p>
        </w:tc>
        <w:tc>
          <w:tcPr>
            <w:tcW w:type="dxa" w:w="5083"/>
          </w:tcPr>
          <w:p>
            <w:pPr>
              <w:spacing w:after="0"/>
            </w:pPr>
            <w:r/>
            <w:r>
              <w:rPr>
                <w:b w:val="0"/>
                <w:sz w:val="19"/>
              </w:rPr>
              <w:t>Received 6 March 2018; accepted 25 April 2018; published 30 April 2018</w:t>
            </w:r>
          </w:p>
        </w:tc>
      </w:tr>
      <w:tr>
        <w:tc>
          <w:tcPr>
            <w:tcW w:type="dxa" w:w="5083"/>
          </w:tcPr>
          <w:p>
            <w:pPr>
              <w:spacing w:after="0"/>
            </w:pPr>
            <w:r/>
            <w:r>
              <w:rPr>
                <w:b/>
                <w:color w:val="1F4E78"/>
                <w:sz w:val="19"/>
              </w:rPr>
              <w:t>DOI</w:t>
            </w:r>
          </w:p>
        </w:tc>
        <w:tc>
          <w:tcPr>
            <w:tcW w:type="dxa" w:w="5083"/>
          </w:tcPr>
          <w:p>
            <w:pPr>
              <w:spacing w:after="0"/>
            </w:pPr>
            <w:r/>
            <w:r>
              <w:rPr>
                <w:b w:val="0"/>
                <w:sz w:val="19"/>
              </w:rPr>
              <w:t>10.3390/rs10050689</w:t>
            </w:r>
          </w:p>
        </w:tc>
      </w:tr>
      <w:tr>
        <w:tc>
          <w:tcPr>
            <w:tcW w:type="dxa" w:w="5083"/>
          </w:tcPr>
          <w:p>
            <w:pPr>
              <w:spacing w:after="0"/>
            </w:pPr>
            <w:r/>
            <w:r>
              <w:rPr>
                <w:b/>
                <w:color w:val="1F4E78"/>
                <w:sz w:val="19"/>
              </w:rPr>
              <w:t>Access and licence</w:t>
            </w:r>
          </w:p>
        </w:tc>
        <w:tc>
          <w:tcPr>
            <w:tcW w:type="dxa" w:w="5083"/>
          </w:tcPr>
          <w:p>
            <w:pPr>
              <w:spacing w:after="0"/>
            </w:pPr>
            <w:r/>
            <w:r>
              <w:rPr>
                <w:b w:val="0"/>
                <w:sz w:val="19"/>
              </w:rPr>
              <w:t>Peer-reviewed, open access, Creative Commons Attribution (CC BY)</w:t>
            </w:r>
          </w:p>
        </w:tc>
      </w:tr>
      <w:tr>
        <w:tc>
          <w:tcPr>
            <w:tcW w:type="dxa" w:w="5083"/>
          </w:tcPr>
          <w:p>
            <w:pPr>
              <w:spacing w:after="0"/>
            </w:pPr>
            <w:r/>
            <w:r>
              <w:rPr>
                <w:b/>
                <w:color w:val="1F4E78"/>
                <w:sz w:val="19"/>
              </w:rPr>
              <w:t>PDF reviewed</w:t>
            </w:r>
          </w:p>
        </w:tc>
        <w:tc>
          <w:tcPr>
            <w:tcW w:type="dxa" w:w="5083"/>
          </w:tcPr>
          <w:p>
            <w:pPr>
              <w:spacing w:after="0"/>
            </w:pPr>
            <w:r/>
            <w:r>
              <w:rPr>
                <w:b w:val="0"/>
                <w:sz w:val="19"/>
              </w:rPr>
              <w:t>20 pages; official/open-access archived version</w:t>
            </w:r>
          </w:p>
        </w:tc>
      </w:tr>
    </w:tbl>
    <w:p>
      <w:r>
        <w:rPr>
          <w:b/>
        </w:rPr>
        <w:t xml:space="preserve">Official article: </w:t>
      </w:r>
      <w:hyperlink r:id="rId11">
        <w:r>
          <w:rPr>
            <w:color w:val="0563C1"/>
            <w:u w:val="single"/>
          </w:rPr>
          <w:t>MDPI version of record</w:t>
        </w:r>
      </w:hyperlink>
      <w:r>
        <w:t xml:space="preserve">  |  </w:t>
      </w:r>
      <w:hyperlink r:id="rId12">
        <w:r>
          <w:rPr>
            <w:color w:val="0563C1"/>
            <w:u w:val="single"/>
          </w:rPr>
          <w:t>DOI</w:t>
        </w:r>
      </w:hyperlink>
      <w:r>
        <w:t xml:space="preserve">  |  </w:t>
      </w:r>
      <w:hyperlink r:id="rId13">
        <w:r>
          <w:rPr>
            <w:color w:val="0563C1"/>
            <w:u w:val="single"/>
          </w:rPr>
          <w:t>Archived PDF</w:t>
        </w:r>
      </w:hyperlink>
    </w:p>
    <w:p>
      <w:pPr>
        <w:pStyle w:val="Heading1"/>
      </w:pPr>
      <w:r>
        <w:t>2. Publication Status</w:t>
      </w:r>
    </w:p>
    <w:p>
      <w:r>
        <w:t>The document is a peer-reviewed research article published in Remote Sensing. It is an open-access version of record and is suitable as a primary academic source for the literature review. The reviewed PDF matches the verified DOI, author list, journal metadata, and publication date.</w:t>
      </w:r>
    </w:p>
    <w:p>
      <w:pPr>
        <w:pStyle w:val="Heading1"/>
      </w:pPr>
      <w:r>
        <w:t>3. Research Objective</w:t>
      </w:r>
    </w:p>
    <w:p>
      <w:r>
        <w:t>The study sought to quantify the territorial expansion of Rohingya refugee settlements and the associated destruction of forest cover around the three largest camp concentrations in Teknaf before and after the major August 2017 influx. The authors positioned the study as the first quantitative remote-sensing assessment of camp expansion and forest loss in this specific crisis context.</w:t>
      </w:r>
    </w:p>
    <w:p>
      <w:pPr>
        <w:pStyle w:val="Heading1"/>
      </w:pPr>
      <w:r>
        <w:t>4. Study Area</w:t>
      </w:r>
    </w:p>
    <w:p>
      <w:pPr>
        <w:pStyle w:val="ListBullet"/>
        <w:spacing w:after="60"/>
      </w:pPr>
      <w:r>
        <w:t>Geographic scope: Teknaf Peninsula, Cox’s Bazar District, southeastern Bangladesh.</w:t>
      </w:r>
    </w:p>
    <w:p>
      <w:pPr>
        <w:pStyle w:val="ListBullet"/>
        <w:spacing w:after="60"/>
      </w:pPr>
      <w:r>
        <w:t>Approximate study-area size: 555 km².</w:t>
      </w:r>
    </w:p>
    <w:p>
      <w:pPr>
        <w:pStyle w:val="ListBullet"/>
        <w:spacing w:after="60"/>
      </w:pPr>
      <w:r>
        <w:t>Primary camp clusters: Kutupalong–Balukhali, Unchiprang, and Nayapara–Leda.</w:t>
      </w:r>
    </w:p>
    <w:p>
      <w:pPr>
        <w:pStyle w:val="ListBullet"/>
        <w:spacing w:after="60"/>
      </w:pPr>
      <w:r>
        <w:t>Analysis buffers: 10 km around Kutupalong–Balukhali, 3 km around Unchiprang, and 4 km around Nayapara–Leda.</w:t>
      </w:r>
    </w:p>
    <w:p>
      <w:pPr>
        <w:pStyle w:val="ListBullet"/>
        <w:spacing w:after="60"/>
      </w:pPr>
      <w:r>
        <w:t>Ecological context: forested hills, protected wildlife sanctuary, Asian-elephant habitat/corridors, and highly variable topography.</w:t>
      </w:r>
    </w:p>
    <w:p>
      <w:pPr>
        <w:pStyle w:val="Heading1"/>
      </w:pPr>
      <w:r>
        <w:t>5. Study Period and Image Dates</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tcPr>
          <w:p>
            <w:pPr>
              <w:spacing w:after="0"/>
            </w:pPr>
            <w:r/>
            <w:r>
              <w:rPr>
                <w:b/>
                <w:color w:val="FFFFFF"/>
                <w:sz w:val="19"/>
              </w:rPr>
              <w:t>Use</w:t>
            </w:r>
          </w:p>
        </w:tc>
        <w:tc>
          <w:tcPr>
            <w:tcW w:type="dxa" w:w="3389"/>
            <w:shd w:fill="1F4E78"/>
          </w:tcPr>
          <w:p>
            <w:pPr>
              <w:spacing w:after="0"/>
            </w:pPr>
            <w:r/>
            <w:r>
              <w:rPr>
                <w:b/>
                <w:color w:val="FFFFFF"/>
                <w:sz w:val="19"/>
              </w:rPr>
              <w:t>Date</w:t>
            </w:r>
          </w:p>
        </w:tc>
        <w:tc>
          <w:tcPr>
            <w:tcW w:type="dxa" w:w="3389"/>
            <w:shd w:fill="1F4E78"/>
          </w:tcPr>
          <w:p>
            <w:pPr>
              <w:spacing w:after="0"/>
            </w:pPr>
            <w:r/>
            <w:r>
              <w:rPr>
                <w:b/>
                <w:color w:val="FFFFFF"/>
                <w:sz w:val="19"/>
              </w:rPr>
              <w:t>Purpose</w:t>
            </w:r>
          </w:p>
        </w:tc>
      </w:tr>
      <w:tr>
        <w:tc>
          <w:tcPr>
            <w:tcW w:type="dxa" w:w="3389"/>
          </w:tcPr>
          <w:p>
            <w:pPr>
              <w:spacing w:after="0"/>
            </w:pPr>
            <w:r/>
            <w:r>
              <w:rPr>
                <w:b w:val="0"/>
                <w:sz w:val="19"/>
              </w:rPr>
              <w:t>NDVI</w:t>
            </w:r>
          </w:p>
        </w:tc>
        <w:tc>
          <w:tcPr>
            <w:tcW w:type="dxa" w:w="3389"/>
          </w:tcPr>
          <w:p>
            <w:pPr>
              <w:spacing w:after="0"/>
            </w:pPr>
            <w:r/>
            <w:r>
              <w:rPr>
                <w:b w:val="0"/>
                <w:sz w:val="19"/>
              </w:rPr>
              <w:t>6 December 2015</w:t>
            </w:r>
          </w:p>
        </w:tc>
        <w:tc>
          <w:tcPr>
            <w:tcW w:type="dxa" w:w="3389"/>
          </w:tcPr>
          <w:p>
            <w:pPr>
              <w:spacing w:after="0"/>
            </w:pPr>
            <w:r/>
            <w:r>
              <w:rPr>
                <w:b w:val="0"/>
                <w:sz w:val="19"/>
              </w:rPr>
              <w:t>Dry-season vegetation baseline</w:t>
            </w:r>
          </w:p>
        </w:tc>
      </w:tr>
      <w:tr>
        <w:tc>
          <w:tcPr>
            <w:tcW w:type="dxa" w:w="3389"/>
          </w:tcPr>
          <w:p>
            <w:pPr>
              <w:spacing w:after="0"/>
            </w:pPr>
            <w:r/>
            <w:r>
              <w:rPr>
                <w:b w:val="0"/>
                <w:sz w:val="19"/>
              </w:rPr>
              <w:t>Classification / NDVI</w:t>
            </w:r>
          </w:p>
        </w:tc>
        <w:tc>
          <w:tcPr>
            <w:tcW w:type="dxa" w:w="3389"/>
          </w:tcPr>
          <w:p>
            <w:pPr>
              <w:spacing w:after="0"/>
            </w:pPr>
            <w:r/>
            <w:r>
              <w:rPr>
                <w:b w:val="0"/>
                <w:sz w:val="19"/>
              </w:rPr>
              <w:t>30 December 2016</w:t>
            </w:r>
          </w:p>
        </w:tc>
        <w:tc>
          <w:tcPr>
            <w:tcW w:type="dxa" w:w="3389"/>
          </w:tcPr>
          <w:p>
            <w:pPr>
              <w:spacing w:after="0"/>
            </w:pPr>
            <w:r/>
            <w:r>
              <w:rPr>
                <w:b w:val="0"/>
                <w:sz w:val="19"/>
              </w:rPr>
              <w:t>Pre-influx land-cover map</w:t>
            </w:r>
          </w:p>
        </w:tc>
      </w:tr>
      <w:tr>
        <w:tc>
          <w:tcPr>
            <w:tcW w:type="dxa" w:w="3389"/>
          </w:tcPr>
          <w:p>
            <w:pPr>
              <w:spacing w:after="0"/>
            </w:pPr>
            <w:r/>
            <w:r>
              <w:rPr>
                <w:b w:val="0"/>
                <w:sz w:val="19"/>
              </w:rPr>
              <w:t>NDVI</w:t>
            </w:r>
          </w:p>
        </w:tc>
        <w:tc>
          <w:tcPr>
            <w:tcW w:type="dxa" w:w="3389"/>
          </w:tcPr>
          <w:p>
            <w:pPr>
              <w:spacing w:after="0"/>
            </w:pPr>
            <w:r/>
            <w:r>
              <w:rPr>
                <w:b w:val="0"/>
                <w:sz w:val="19"/>
              </w:rPr>
              <w:t>8 February 2017</w:t>
            </w:r>
          </w:p>
        </w:tc>
        <w:tc>
          <w:tcPr>
            <w:tcW w:type="dxa" w:w="3389"/>
          </w:tcPr>
          <w:p>
            <w:pPr>
              <w:spacing w:after="0"/>
            </w:pPr>
            <w:r/>
            <w:r>
              <w:rPr>
                <w:b w:val="0"/>
                <w:sz w:val="19"/>
              </w:rPr>
              <w:t>Pre-influx vegetation condition</w:t>
            </w:r>
          </w:p>
        </w:tc>
      </w:tr>
      <w:tr>
        <w:tc>
          <w:tcPr>
            <w:tcW w:type="dxa" w:w="3389"/>
          </w:tcPr>
          <w:p>
            <w:pPr>
              <w:spacing w:after="0"/>
            </w:pPr>
            <w:r/>
            <w:r>
              <w:rPr>
                <w:b w:val="0"/>
                <w:sz w:val="19"/>
              </w:rPr>
              <w:t>Classification / NDVI</w:t>
            </w:r>
          </w:p>
        </w:tc>
        <w:tc>
          <w:tcPr>
            <w:tcW w:type="dxa" w:w="3389"/>
          </w:tcPr>
          <w:p>
            <w:pPr>
              <w:spacing w:after="0"/>
            </w:pPr>
            <w:r/>
            <w:r>
              <w:rPr>
                <w:b w:val="0"/>
                <w:sz w:val="19"/>
              </w:rPr>
              <w:t>15 December 2017</w:t>
            </w:r>
          </w:p>
        </w:tc>
        <w:tc>
          <w:tcPr>
            <w:tcW w:type="dxa" w:w="3389"/>
          </w:tcPr>
          <w:p>
            <w:pPr>
              <w:spacing w:after="0"/>
            </w:pPr>
            <w:r/>
            <w:r>
              <w:rPr>
                <w:b w:val="0"/>
                <w:sz w:val="19"/>
              </w:rPr>
              <w:t>Post-influx land-cover map</w:t>
            </w:r>
          </w:p>
        </w:tc>
      </w:tr>
      <w:tr>
        <w:tc>
          <w:tcPr>
            <w:tcW w:type="dxa" w:w="3389"/>
          </w:tcPr>
          <w:p>
            <w:pPr>
              <w:spacing w:after="0"/>
            </w:pPr>
            <w:r/>
            <w:r>
              <w:rPr>
                <w:b w:val="0"/>
                <w:sz w:val="19"/>
              </w:rPr>
              <w:t>Field reference data</w:t>
            </w:r>
          </w:p>
        </w:tc>
        <w:tc>
          <w:tcPr>
            <w:tcW w:type="dxa" w:w="3389"/>
          </w:tcPr>
          <w:p>
            <w:pPr>
              <w:spacing w:after="0"/>
            </w:pPr>
            <w:r/>
            <w:r>
              <w:rPr>
                <w:b w:val="0"/>
                <w:sz w:val="19"/>
              </w:rPr>
              <w:t>28 December 2017</w:t>
            </w:r>
          </w:p>
        </w:tc>
        <w:tc>
          <w:tcPr>
            <w:tcW w:type="dxa" w:w="3389"/>
          </w:tcPr>
          <w:p>
            <w:pPr>
              <w:spacing w:after="0"/>
            </w:pPr>
            <w:r/>
            <w:r>
              <w:rPr>
                <w:b w:val="0"/>
                <w:sz w:val="19"/>
              </w:rPr>
              <w:t>GPS/spatial-video observations and training samples</w:t>
            </w:r>
          </w:p>
        </w:tc>
      </w:tr>
    </w:tbl>
    <w:p>
      <w:r>
        <w:t>The core change analysis is a two-date comparison between December 2016 and December 2017. The four-date NDVI sequence was used to corroborate directional vegetation decline while limiting seasonal differences by using dry-season imagery.</w:t>
      </w:r>
    </w:p>
    <w:p>
      <w:pPr>
        <w:pStyle w:val="Heading1"/>
      </w:pPr>
      <w:r>
        <w:t>6. Datasets</w:t>
      </w:r>
    </w:p>
    <w:p>
      <w:pPr>
        <w:pStyle w:val="ListBullet"/>
        <w:spacing w:after="60"/>
      </w:pPr>
      <w:r>
        <w:t>Sentinel-2A/2B multispectral imagery at 10 m using bands 2, 3, 4 and 8.</w:t>
      </w:r>
    </w:p>
    <w:p>
      <w:pPr>
        <w:pStyle w:val="ListBullet"/>
        <w:spacing w:after="60"/>
      </w:pPr>
      <w:r>
        <w:t>QuickBird image acquired 6 February 2010; multispectral data were pan-sharpened to 0.6 m for pre-influx interpretation and accuracy assessment.</w:t>
      </w:r>
    </w:p>
    <w:p>
      <w:pPr>
        <w:pStyle w:val="ListBullet"/>
        <w:spacing w:after="60"/>
      </w:pPr>
      <w:r>
        <w:t>SRTM elevation data acquired 23 September 2014 at 30 m.</w:t>
      </w:r>
    </w:p>
    <w:p>
      <w:pPr>
        <w:pStyle w:val="ListBullet"/>
        <w:spacing w:after="60"/>
      </w:pPr>
      <w:r>
        <w:t>Ground GPS and high-definition spatial-video observations collected on 28 December 2017.</w:t>
      </w:r>
    </w:p>
    <w:p>
      <w:pPr>
        <w:pStyle w:val="ListBullet"/>
        <w:spacing w:after="60"/>
      </w:pPr>
      <w:r>
        <w:t>Google Earth imagery and manually interpreted reference samples.</w:t>
      </w:r>
    </w:p>
    <w:p>
      <w:pPr>
        <w:pStyle w:val="ListBullet"/>
        <w:spacing w:after="60"/>
      </w:pPr>
      <w:r>
        <w:t>Population and refugee counts from BBS, ISCG, IOM, UNHCR and OCHA.</w:t>
      </w:r>
    </w:p>
    <w:p>
      <w:pPr>
        <w:pStyle w:val="ListBullet"/>
        <w:spacing w:after="60"/>
      </w:pPr>
      <w:r>
        <w:t>Roads, administrative boundaries and physical features from the 2011 regional master-plan survey.</w:t>
      </w:r>
    </w:p>
    <w:p>
      <w:pPr>
        <w:pStyle w:val="Heading1"/>
      </w:pPr>
      <w:r>
        <w:t>7. Ground and Reference Data</w:t>
      </w:r>
    </w:p>
    <w:p>
      <w:r>
        <w:t>The team collected approximately 200 field samples from a GPS-enabled spatial-video survey and added about 300 stratified random samples to reduce road-access bias and improve spatial coverage. The paper also reports approximately 500 manually interpreted reference samples for 2016 using Google Earth, QuickBird and Sentinel-2A. Larger portions of the reference data were used to train the classifier and subsets were retained for validation.</w:t>
      </w:r>
    </w:p>
    <w:tbl>
      <w:tblPr>
        <w:tblW w:type="auto" w:w="0"/>
        <w:tblLook w:firstColumn="1" w:firstRow="1" w:lastColumn="0" w:lastRow="0" w:noHBand="0" w:noVBand="1" w:val="04A0"/>
      </w:tblPr>
      <w:tblGrid>
        <w:gridCol w:w="10166"/>
      </w:tblGrid>
      <w:tr>
        <w:tc>
          <w:tcPr>
            <w:tcW w:type="dxa" w:w="10166"/>
            <w:shd w:fill="FFF4CE"/>
          </w:tcPr>
          <w:p>
            <w:r>
              <w:rPr>
                <w:b/>
              </w:rPr>
              <w:t xml:space="preserve">Quality-control note: </w:t>
            </w:r>
            <w:r>
              <w:t>The validation section states that 150 stratified random points were used for each period and later mentions 50 reference points for the 2017 image. This most plausibly indicates 50 points per broad class (150 total), but the paper’s wording is not fully explicit. The ambiguity should be retained in the review rather than silently resolved.</w:t>
            </w:r>
          </w:p>
        </w:tc>
      </w:tr>
    </w:tbl>
    <w:p>
      <w:pPr>
        <w:pStyle w:val="Heading1"/>
      </w:pPr>
      <w:r>
        <w:t>8. Preprocessing</w:t>
      </w:r>
    </w:p>
    <w:p>
      <w:pPr>
        <w:pStyle w:val="ListBullet"/>
        <w:spacing w:after="60"/>
      </w:pPr>
      <w:r>
        <w:t>Visually inspected Sentinel scenes and selected cloud-free dry-season imagery.</w:t>
      </w:r>
    </w:p>
    <w:p>
      <w:pPr>
        <w:pStyle w:val="ListBullet"/>
        <w:spacing w:after="60"/>
      </w:pPr>
      <w:r>
        <w:t>Stacked visible and near-infrared bands and clipped them to the study boundary.</w:t>
      </w:r>
    </w:p>
    <w:p>
      <w:pPr>
        <w:pStyle w:val="ListBullet"/>
        <w:spacing w:after="60"/>
      </w:pPr>
      <w:r>
        <w:t>Pan-sharpened QuickBird multispectral data to 0.6 m.</w:t>
      </w:r>
    </w:p>
    <w:p>
      <w:pPr>
        <w:pStyle w:val="ListBullet"/>
        <w:spacing w:after="60"/>
      </w:pPr>
      <w:r>
        <w:t>Computed NDVI and other spectral transformations.</w:t>
      </w:r>
    </w:p>
    <w:p>
      <w:pPr>
        <w:pStyle w:val="ListBullet"/>
        <w:spacing w:after="60"/>
      </w:pPr>
      <w:r>
        <w:t>Digitized field observations and camp boundaries in Google Earth/GIS.</w:t>
      </w:r>
    </w:p>
    <w:p>
      <w:pPr>
        <w:pStyle w:val="ListBullet"/>
        <w:spacing w:after="60"/>
      </w:pPr>
      <w:r>
        <w:t>Converted classified outputs to polygon shapefiles in ArcGIS for buffer and conversion analysis.</w:t>
      </w:r>
    </w:p>
    <w:p>
      <w:pPr>
        <w:pStyle w:val="Heading1"/>
      </w:pPr>
      <w:r>
        <w:t>9. Classification Method</w:t>
      </w:r>
    </w:p>
    <w:p>
      <w:pPr>
        <w:pStyle w:val="ListBullet"/>
        <w:spacing w:after="60"/>
      </w:pPr>
      <w:r>
        <w:t>Classifier: Random Forest implemented in RStudio.</w:t>
      </w:r>
    </w:p>
    <w:p>
      <w:pPr>
        <w:pStyle w:val="ListBullet"/>
        <w:spacing w:after="60"/>
      </w:pPr>
      <w:r>
        <w:t>Predictor count: 16 — three topographic variables and 13 spectral/index variables.</w:t>
      </w:r>
    </w:p>
    <w:p>
      <w:pPr>
        <w:pStyle w:val="ListBullet"/>
        <w:spacing w:after="60"/>
      </w:pPr>
      <w:r>
        <w:t>RF configuration: 1,000 trees; 5–6 predictors randomly considered at each split.</w:t>
      </w:r>
    </w:p>
    <w:p>
      <w:pPr>
        <w:pStyle w:val="ListBullet"/>
        <w:spacing w:after="60"/>
      </w:pPr>
      <w:r>
        <w:t>Initial classes: forest, urban, camp, water, agriculture and sand.</w:t>
      </w:r>
    </w:p>
    <w:p>
      <w:pPr>
        <w:pStyle w:val="ListBullet"/>
        <w:spacing w:after="60"/>
      </w:pPr>
      <w:r>
        <w:t>Final change-analysis classes: forest, nonforest and camp.</w:t>
      </w:r>
    </w:p>
    <w:p>
      <w:pPr>
        <w:pStyle w:val="ListBullet"/>
        <w:spacing w:after="60"/>
      </w:pPr>
      <w:r>
        <w:t>Additional analyses: ring buffers, land-cover conversion matrices, directional change and NDVI profiles.</w:t>
      </w:r>
    </w:p>
    <w:p>
      <w:pPr>
        <w:pStyle w:val="Heading1"/>
      </w:pPr>
      <w:r>
        <w:t>10. Land-Cover Classes</w:t>
      </w:r>
    </w:p>
    <w:p>
      <w:r>
        <w:t>The six-class Random Forest output was intentionally simplified to three broad classes for the main change analysis. This made camp and forest conversion easier to quantify, but reduced thematic detail and may obscure distinctions among agriculture, bare ground, homestead vegetation and urban/non-camp settlement.</w:t>
      </w:r>
    </w:p>
    <w:p>
      <w:pPr>
        <w:pStyle w:val="Heading1"/>
      </w:pPr>
      <w:r>
        <w:t>11. Accuracy Assessment</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tcPr>
          <w:p>
            <w:pPr>
              <w:spacing w:after="0"/>
            </w:pPr>
            <w:r/>
            <w:r>
              <w:rPr>
                <w:b/>
                <w:color w:val="FFFFFF"/>
                <w:sz w:val="19"/>
              </w:rPr>
              <w:t>Metric</w:t>
            </w:r>
          </w:p>
        </w:tc>
        <w:tc>
          <w:tcPr>
            <w:tcW w:type="dxa" w:w="3389"/>
            <w:shd w:fill="1F4E78"/>
          </w:tcPr>
          <w:p>
            <w:pPr>
              <w:spacing w:after="0"/>
            </w:pPr>
            <w:r/>
            <w:r>
              <w:rPr>
                <w:b/>
                <w:color w:val="FFFFFF"/>
                <w:sz w:val="19"/>
              </w:rPr>
              <w:t>2016</w:t>
            </w:r>
          </w:p>
        </w:tc>
        <w:tc>
          <w:tcPr>
            <w:tcW w:type="dxa" w:w="3389"/>
            <w:shd w:fill="1F4E78"/>
          </w:tcPr>
          <w:p>
            <w:pPr>
              <w:spacing w:after="0"/>
            </w:pPr>
            <w:r/>
            <w:r>
              <w:rPr>
                <w:b/>
                <w:color w:val="FFFFFF"/>
                <w:sz w:val="19"/>
              </w:rPr>
              <w:t>2017</w:t>
            </w:r>
          </w:p>
        </w:tc>
      </w:tr>
      <w:tr>
        <w:tc>
          <w:tcPr>
            <w:tcW w:type="dxa" w:w="3389"/>
          </w:tcPr>
          <w:p>
            <w:pPr>
              <w:spacing w:after="0"/>
            </w:pPr>
            <w:r/>
            <w:r>
              <w:rPr>
                <w:b w:val="0"/>
                <w:sz w:val="19"/>
              </w:rPr>
              <w:t>Overall accuracy</w:t>
            </w:r>
          </w:p>
        </w:tc>
        <w:tc>
          <w:tcPr>
            <w:tcW w:type="dxa" w:w="3389"/>
          </w:tcPr>
          <w:p>
            <w:pPr>
              <w:spacing w:after="0"/>
            </w:pPr>
            <w:r/>
            <w:r>
              <w:rPr>
                <w:b w:val="0"/>
                <w:sz w:val="19"/>
              </w:rPr>
              <w:t>94.53%</w:t>
            </w:r>
          </w:p>
        </w:tc>
        <w:tc>
          <w:tcPr>
            <w:tcW w:type="dxa" w:w="3389"/>
          </w:tcPr>
          <w:p>
            <w:pPr>
              <w:spacing w:after="0"/>
            </w:pPr>
            <w:r/>
            <w:r>
              <w:rPr>
                <w:b w:val="0"/>
                <w:sz w:val="19"/>
              </w:rPr>
              <w:t>95.14%</w:t>
            </w:r>
          </w:p>
        </w:tc>
      </w:tr>
      <w:tr>
        <w:tc>
          <w:tcPr>
            <w:tcW w:type="dxa" w:w="3389"/>
          </w:tcPr>
          <w:p>
            <w:pPr>
              <w:spacing w:after="0"/>
            </w:pPr>
            <w:r/>
            <w:r>
              <w:rPr>
                <w:b w:val="0"/>
                <w:sz w:val="19"/>
              </w:rPr>
              <w:t>Kappa</w:t>
            </w:r>
          </w:p>
        </w:tc>
        <w:tc>
          <w:tcPr>
            <w:tcW w:type="dxa" w:w="3389"/>
          </w:tcPr>
          <w:p>
            <w:pPr>
              <w:spacing w:after="0"/>
            </w:pPr>
            <w:r/>
            <w:r>
              <w:rPr>
                <w:b w:val="0"/>
                <w:sz w:val="19"/>
              </w:rPr>
              <w:t>0.93</w:t>
            </w:r>
          </w:p>
        </w:tc>
        <w:tc>
          <w:tcPr>
            <w:tcW w:type="dxa" w:w="3389"/>
          </w:tcPr>
          <w:p>
            <w:pPr>
              <w:spacing w:after="0"/>
            </w:pPr>
            <w:r/>
            <w:r>
              <w:rPr>
                <w:b w:val="0"/>
                <w:sz w:val="19"/>
              </w:rPr>
              <w:t>0.94</w:t>
            </w:r>
          </w:p>
        </w:tc>
      </w:tr>
      <w:tr>
        <w:tc>
          <w:tcPr>
            <w:tcW w:type="dxa" w:w="3389"/>
          </w:tcPr>
          <w:p>
            <w:pPr>
              <w:spacing w:after="0"/>
            </w:pPr>
            <w:r/>
            <w:r>
              <w:rPr>
                <w:b w:val="0"/>
                <w:sz w:val="19"/>
              </w:rPr>
              <w:t>OOB error</w:t>
            </w:r>
          </w:p>
        </w:tc>
        <w:tc>
          <w:tcPr>
            <w:tcW w:type="dxa" w:w="3389"/>
          </w:tcPr>
          <w:p>
            <w:pPr>
              <w:spacing w:after="0"/>
            </w:pPr>
            <w:r/>
            <w:r>
              <w:rPr>
                <w:b w:val="0"/>
                <w:sz w:val="19"/>
              </w:rPr>
              <w:t>3.67</w:t>
            </w:r>
          </w:p>
        </w:tc>
        <w:tc>
          <w:tcPr>
            <w:tcW w:type="dxa" w:w="3389"/>
          </w:tcPr>
          <w:p>
            <w:pPr>
              <w:spacing w:after="0"/>
            </w:pPr>
            <w:r/>
            <w:r>
              <w:rPr>
                <w:b w:val="0"/>
                <w:sz w:val="19"/>
              </w:rPr>
              <w:t>3.19</w:t>
            </w:r>
          </w:p>
        </w:tc>
      </w:tr>
      <w:tr>
        <w:tc>
          <w:tcPr>
            <w:tcW w:type="dxa" w:w="3389"/>
          </w:tcPr>
          <w:p>
            <w:pPr>
              <w:spacing w:after="0"/>
            </w:pPr>
            <w:r/>
            <w:r>
              <w:rPr>
                <w:b w:val="0"/>
                <w:sz w:val="19"/>
              </w:rPr>
              <w:t>Forest producer accuracy</w:t>
            </w:r>
          </w:p>
        </w:tc>
        <w:tc>
          <w:tcPr>
            <w:tcW w:type="dxa" w:w="3389"/>
          </w:tcPr>
          <w:p>
            <w:pPr>
              <w:spacing w:after="0"/>
            </w:pPr>
            <w:r/>
            <w:r>
              <w:rPr>
                <w:b w:val="0"/>
                <w:sz w:val="19"/>
              </w:rPr>
              <w:t>92.98–98.21% range across maps</w:t>
            </w:r>
          </w:p>
        </w:tc>
        <w:tc>
          <w:tcPr>
            <w:tcW w:type="dxa" w:w="3389"/>
          </w:tcPr>
          <w:p>
            <w:pPr>
              <w:spacing w:after="0"/>
            </w:pPr>
            <w:r/>
            <w:r>
              <w:rPr>
                <w:b w:val="0"/>
                <w:sz w:val="19"/>
              </w:rPr>
              <w:t>92.98–98.21% range across maps</w:t>
            </w:r>
          </w:p>
        </w:tc>
      </w:tr>
      <w:tr>
        <w:tc>
          <w:tcPr>
            <w:tcW w:type="dxa" w:w="3389"/>
          </w:tcPr>
          <w:p>
            <w:pPr>
              <w:spacing w:after="0"/>
            </w:pPr>
            <w:r/>
            <w:r>
              <w:rPr>
                <w:b w:val="0"/>
                <w:sz w:val="19"/>
              </w:rPr>
              <w:t>Forest user accuracy</w:t>
            </w:r>
          </w:p>
        </w:tc>
        <w:tc>
          <w:tcPr>
            <w:tcW w:type="dxa" w:w="3389"/>
          </w:tcPr>
          <w:p>
            <w:pPr>
              <w:spacing w:after="0"/>
            </w:pPr>
            <w:r/>
            <w:r>
              <w:rPr>
                <w:b w:val="0"/>
                <w:sz w:val="19"/>
              </w:rPr>
              <w:t>96.49–92.98% range across maps</w:t>
            </w:r>
          </w:p>
        </w:tc>
        <w:tc>
          <w:tcPr>
            <w:tcW w:type="dxa" w:w="3389"/>
          </w:tcPr>
          <w:p>
            <w:pPr>
              <w:spacing w:after="0"/>
            </w:pPr>
            <w:r/>
            <w:r>
              <w:rPr>
                <w:b w:val="0"/>
                <w:sz w:val="19"/>
              </w:rPr>
              <w:t>96.49–92.98% range across maps</w:t>
            </w:r>
          </w:p>
        </w:tc>
      </w:tr>
    </w:tbl>
    <w:p>
      <w:r>
        <w:t>Variable-importance results highlighted NIR and red reflectance, NDVI, elevation, and tasseled-cap greenness/brightness. Slope and aspect were the least influential predictors, although the authors retained all 16 variables.</w:t>
      </w:r>
    </w:p>
    <w:p>
      <w:pPr>
        <w:pStyle w:val="Heading1"/>
      </w:pPr>
      <w:r>
        <w:t>12. Main Findings</w:t>
      </w:r>
    </w:p>
    <w:p>
      <w:pPr>
        <w:pStyle w:val="ListBullet"/>
        <w:spacing w:after="60"/>
      </w:pPr>
      <w:r>
        <w:t>Across the three analysed camp zones, camp area increased by 1,356 ha between December 2016 and December 2017.</w:t>
      </w:r>
    </w:p>
    <w:p>
      <w:pPr>
        <w:pStyle w:val="ListBullet"/>
        <w:spacing w:after="60"/>
      </w:pPr>
      <w:r>
        <w:t>Net forest cover declined by 2,283 ha, approximately 5,650 acres, while nonforest area increased by 928 ha.</w:t>
      </w:r>
    </w:p>
    <w:p>
      <w:pPr>
        <w:pStyle w:val="ListBullet"/>
        <w:spacing w:after="60"/>
      </w:pPr>
      <w:r>
        <w:t>Kutupalong–Balukhali accounted for most of the change: +1,219 ha of camp area and −2,060 ha of forest.</w:t>
      </w:r>
    </w:p>
    <w:p>
      <w:pPr>
        <w:pStyle w:val="ListBullet"/>
        <w:spacing w:after="60"/>
      </w:pPr>
      <w:r>
        <w:t>The strongest Kutupalong–Balukhali losses occurred south, west and southwest of the original camp, with the southwest direction showing 940 ha of forest degradation.</w:t>
      </w:r>
    </w:p>
    <w:p>
      <w:pPr>
        <w:pStyle w:val="ListBullet"/>
        <w:spacing w:after="60"/>
      </w:pPr>
      <w:r>
        <w:t>Nayapara–Leda lost 176 ha of forest and Unchiprang lost 47 ha.</w:t>
      </w:r>
    </w:p>
    <w:p>
      <w:pPr>
        <w:pStyle w:val="ListBullet"/>
        <w:spacing w:after="60"/>
      </w:pPr>
      <w:r>
        <w:t>NDVI profiles showed strong post-influx declines within about 7 km southwest and 4 km west of Kutupalong–Balukhali.</w:t>
      </w:r>
    </w:p>
    <w:p>
      <w:pPr>
        <w:pStyle w:val="Heading1"/>
      </w:pPr>
      <w:r>
        <w:t>13. Key Numerical Results</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1694"/>
            <w:shd w:fill="1F4E78"/>
          </w:tcPr>
          <w:p>
            <w:pPr>
              <w:spacing w:after="0"/>
            </w:pPr>
            <w:r/>
            <w:r>
              <w:rPr>
                <w:b/>
                <w:color w:val="FFFFFF"/>
                <w:sz w:val="17"/>
              </w:rPr>
              <w:t>Site</w:t>
            </w:r>
          </w:p>
        </w:tc>
        <w:tc>
          <w:tcPr>
            <w:tcW w:type="dxa" w:w="1694"/>
            <w:shd w:fill="1F4E78"/>
          </w:tcPr>
          <w:p>
            <w:pPr>
              <w:spacing w:after="0"/>
            </w:pPr>
            <w:r/>
            <w:r>
              <w:rPr>
                <w:b/>
                <w:color w:val="FFFFFF"/>
                <w:sz w:val="17"/>
              </w:rPr>
              <w:t>Class</w:t>
            </w:r>
          </w:p>
        </w:tc>
        <w:tc>
          <w:tcPr>
            <w:tcW w:type="dxa" w:w="1694"/>
            <w:shd w:fill="1F4E78"/>
          </w:tcPr>
          <w:p>
            <w:pPr>
              <w:spacing w:after="0"/>
            </w:pPr>
            <w:r/>
            <w:r>
              <w:rPr>
                <w:b/>
                <w:color w:val="FFFFFF"/>
                <w:sz w:val="17"/>
              </w:rPr>
              <w:t>2016 (ha)</w:t>
            </w:r>
          </w:p>
        </w:tc>
        <w:tc>
          <w:tcPr>
            <w:tcW w:type="dxa" w:w="1694"/>
            <w:shd w:fill="1F4E78"/>
          </w:tcPr>
          <w:p>
            <w:pPr>
              <w:spacing w:after="0"/>
            </w:pPr>
            <w:r/>
            <w:r>
              <w:rPr>
                <w:b/>
                <w:color w:val="FFFFFF"/>
                <w:sz w:val="17"/>
              </w:rPr>
              <w:t>2017 (ha)</w:t>
            </w:r>
          </w:p>
        </w:tc>
        <w:tc>
          <w:tcPr>
            <w:tcW w:type="dxa" w:w="1694"/>
            <w:shd w:fill="1F4E78"/>
          </w:tcPr>
          <w:p>
            <w:pPr>
              <w:spacing w:after="0"/>
            </w:pPr>
            <w:r/>
            <w:r>
              <w:rPr>
                <w:b/>
                <w:color w:val="FFFFFF"/>
                <w:sz w:val="17"/>
              </w:rPr>
              <w:t>Net change (ha)</w:t>
            </w:r>
          </w:p>
        </w:tc>
        <w:tc>
          <w:tcPr>
            <w:tcW w:type="dxa" w:w="1694"/>
            <w:shd w:fill="1F4E78"/>
          </w:tcPr>
          <w:p>
            <w:pPr>
              <w:spacing w:after="0"/>
            </w:pPr>
            <w:r/>
            <w:r>
              <w:rPr>
                <w:b/>
                <w:color w:val="FFFFFF"/>
                <w:sz w:val="17"/>
              </w:rPr>
              <w:t>Rate</w:t>
            </w:r>
          </w:p>
        </w:tc>
      </w:tr>
      <w:tr>
        <w:tc>
          <w:tcPr>
            <w:tcW w:type="dxa" w:w="1694"/>
          </w:tcPr>
          <w:p>
            <w:pPr>
              <w:spacing w:after="0"/>
            </w:pPr>
            <w:r/>
            <w:r>
              <w:rPr>
                <w:b w:val="0"/>
                <w:sz w:val="17"/>
              </w:rPr>
              <w:t>Kutupalong–Balukhali</w:t>
            </w:r>
          </w:p>
        </w:tc>
        <w:tc>
          <w:tcPr>
            <w:tcW w:type="dxa" w:w="1694"/>
          </w:tcPr>
          <w:p>
            <w:pPr>
              <w:spacing w:after="0"/>
            </w:pPr>
            <w:r/>
            <w:r>
              <w:rPr>
                <w:b w:val="0"/>
                <w:sz w:val="17"/>
              </w:rPr>
              <w:t>Camp</w:t>
            </w:r>
          </w:p>
        </w:tc>
        <w:tc>
          <w:tcPr>
            <w:tcW w:type="dxa" w:w="1694"/>
          </w:tcPr>
          <w:p>
            <w:pPr>
              <w:spacing w:after="0"/>
            </w:pPr>
            <w:r/>
            <w:r>
              <w:rPr>
                <w:b w:val="0"/>
                <w:sz w:val="17"/>
              </w:rPr>
              <w:t>146</w:t>
            </w:r>
          </w:p>
        </w:tc>
        <w:tc>
          <w:tcPr>
            <w:tcW w:type="dxa" w:w="1694"/>
          </w:tcPr>
          <w:p>
            <w:pPr>
              <w:spacing w:after="0"/>
            </w:pPr>
            <w:r/>
            <w:r>
              <w:rPr>
                <w:b w:val="0"/>
                <w:sz w:val="17"/>
              </w:rPr>
              <w:t>1,365</w:t>
            </w:r>
          </w:p>
        </w:tc>
        <w:tc>
          <w:tcPr>
            <w:tcW w:type="dxa" w:w="1694"/>
          </w:tcPr>
          <w:p>
            <w:pPr>
              <w:spacing w:after="0"/>
            </w:pPr>
            <w:r/>
            <w:r>
              <w:rPr>
                <w:b w:val="0"/>
                <w:sz w:val="17"/>
              </w:rPr>
              <w:t>+1,219</w:t>
            </w:r>
          </w:p>
        </w:tc>
        <w:tc>
          <w:tcPr>
            <w:tcW w:type="dxa" w:w="1694"/>
          </w:tcPr>
          <w:p>
            <w:pPr>
              <w:spacing w:after="0"/>
            </w:pPr>
            <w:r/>
            <w:r>
              <w:rPr>
                <w:b w:val="0"/>
                <w:sz w:val="17"/>
              </w:rPr>
              <w:t>+835%</w:t>
            </w:r>
          </w:p>
        </w:tc>
      </w:tr>
      <w:tr>
        <w:tc>
          <w:tcPr>
            <w:tcW w:type="dxa" w:w="1694"/>
          </w:tcPr>
          <w:p>
            <w:pPr>
              <w:spacing w:after="0"/>
            </w:pPr>
            <w:r/>
            <w:r>
              <w:rPr>
                <w:b w:val="0"/>
                <w:sz w:val="17"/>
              </w:rPr>
              <w:t>Kutupalong–Balukhali</w:t>
            </w:r>
          </w:p>
        </w:tc>
        <w:tc>
          <w:tcPr>
            <w:tcW w:type="dxa" w:w="1694"/>
          </w:tcPr>
          <w:p>
            <w:pPr>
              <w:spacing w:after="0"/>
            </w:pPr>
            <w:r/>
            <w:r>
              <w:rPr>
                <w:b w:val="0"/>
                <w:sz w:val="17"/>
              </w:rPr>
              <w:t>Forest</w:t>
            </w:r>
          </w:p>
        </w:tc>
        <w:tc>
          <w:tcPr>
            <w:tcW w:type="dxa" w:w="1694"/>
          </w:tcPr>
          <w:p>
            <w:pPr>
              <w:spacing w:after="0"/>
            </w:pPr>
            <w:r/>
            <w:r>
              <w:rPr>
                <w:b w:val="0"/>
                <w:sz w:val="17"/>
              </w:rPr>
              <w:t>11,800</w:t>
            </w:r>
          </w:p>
        </w:tc>
        <w:tc>
          <w:tcPr>
            <w:tcW w:type="dxa" w:w="1694"/>
          </w:tcPr>
          <w:p>
            <w:pPr>
              <w:spacing w:after="0"/>
            </w:pPr>
            <w:r/>
            <w:r>
              <w:rPr>
                <w:b w:val="0"/>
                <w:sz w:val="17"/>
              </w:rPr>
              <w:t>9,740</w:t>
            </w:r>
          </w:p>
        </w:tc>
        <w:tc>
          <w:tcPr>
            <w:tcW w:type="dxa" w:w="1694"/>
          </w:tcPr>
          <w:p>
            <w:pPr>
              <w:spacing w:after="0"/>
            </w:pPr>
            <w:r/>
            <w:r>
              <w:rPr>
                <w:b w:val="0"/>
                <w:sz w:val="17"/>
              </w:rPr>
              <w:t>−2,060</w:t>
            </w:r>
          </w:p>
        </w:tc>
        <w:tc>
          <w:tcPr>
            <w:tcW w:type="dxa" w:w="1694"/>
          </w:tcPr>
          <w:p>
            <w:pPr>
              <w:spacing w:after="0"/>
            </w:pPr>
            <w:r/>
            <w:r>
              <w:rPr>
                <w:b w:val="0"/>
                <w:sz w:val="17"/>
              </w:rPr>
              <w:t>−18%</w:t>
            </w:r>
          </w:p>
        </w:tc>
      </w:tr>
      <w:tr>
        <w:tc>
          <w:tcPr>
            <w:tcW w:type="dxa" w:w="1694"/>
          </w:tcPr>
          <w:p>
            <w:pPr>
              <w:spacing w:after="0"/>
            </w:pPr>
            <w:r/>
            <w:r>
              <w:rPr>
                <w:b w:val="0"/>
                <w:sz w:val="17"/>
              </w:rPr>
              <w:t>Kutupalong–Balukhali</w:t>
            </w:r>
          </w:p>
        </w:tc>
        <w:tc>
          <w:tcPr>
            <w:tcW w:type="dxa" w:w="1694"/>
          </w:tcPr>
          <w:p>
            <w:pPr>
              <w:spacing w:after="0"/>
            </w:pPr>
            <w:r/>
            <w:r>
              <w:rPr>
                <w:b w:val="0"/>
                <w:sz w:val="17"/>
              </w:rPr>
              <w:t>Nonforest</w:t>
            </w:r>
          </w:p>
        </w:tc>
        <w:tc>
          <w:tcPr>
            <w:tcW w:type="dxa" w:w="1694"/>
          </w:tcPr>
          <w:p>
            <w:pPr>
              <w:spacing w:after="0"/>
            </w:pPr>
            <w:r/>
            <w:r>
              <w:rPr>
                <w:b w:val="0"/>
                <w:sz w:val="17"/>
              </w:rPr>
              <w:t>7,550</w:t>
            </w:r>
          </w:p>
        </w:tc>
        <w:tc>
          <w:tcPr>
            <w:tcW w:type="dxa" w:w="1694"/>
          </w:tcPr>
          <w:p>
            <w:pPr>
              <w:spacing w:after="0"/>
            </w:pPr>
            <w:r/>
            <w:r>
              <w:rPr>
                <w:b w:val="0"/>
                <w:sz w:val="17"/>
              </w:rPr>
              <w:t>8,392</w:t>
            </w:r>
          </w:p>
        </w:tc>
        <w:tc>
          <w:tcPr>
            <w:tcW w:type="dxa" w:w="1694"/>
          </w:tcPr>
          <w:p>
            <w:pPr>
              <w:spacing w:after="0"/>
            </w:pPr>
            <w:r/>
            <w:r>
              <w:rPr>
                <w:b w:val="0"/>
                <w:sz w:val="17"/>
              </w:rPr>
              <w:t>+842</w:t>
            </w:r>
          </w:p>
        </w:tc>
        <w:tc>
          <w:tcPr>
            <w:tcW w:type="dxa" w:w="1694"/>
          </w:tcPr>
          <w:p>
            <w:pPr>
              <w:spacing w:after="0"/>
            </w:pPr>
            <w:r/>
            <w:r>
              <w:rPr>
                <w:b w:val="0"/>
                <w:sz w:val="17"/>
              </w:rPr>
              <w:t>+11%</w:t>
            </w:r>
          </w:p>
        </w:tc>
      </w:tr>
      <w:tr>
        <w:tc>
          <w:tcPr>
            <w:tcW w:type="dxa" w:w="1694"/>
          </w:tcPr>
          <w:p>
            <w:pPr>
              <w:spacing w:after="0"/>
            </w:pPr>
            <w:r/>
            <w:r>
              <w:rPr>
                <w:b w:val="0"/>
                <w:sz w:val="17"/>
              </w:rPr>
              <w:t>Unchiprang</w:t>
            </w:r>
          </w:p>
        </w:tc>
        <w:tc>
          <w:tcPr>
            <w:tcW w:type="dxa" w:w="1694"/>
          </w:tcPr>
          <w:p>
            <w:pPr>
              <w:spacing w:after="0"/>
            </w:pPr>
            <w:r/>
            <w:r>
              <w:rPr>
                <w:b w:val="0"/>
                <w:sz w:val="17"/>
              </w:rPr>
              <w:t>Camp</w:t>
            </w:r>
          </w:p>
        </w:tc>
        <w:tc>
          <w:tcPr>
            <w:tcW w:type="dxa" w:w="1694"/>
          </w:tcPr>
          <w:p>
            <w:pPr>
              <w:spacing w:after="0"/>
            </w:pPr>
            <w:r/>
            <w:r>
              <w:rPr>
                <w:b w:val="0"/>
                <w:sz w:val="17"/>
              </w:rPr>
              <w:t>0</w:t>
            </w:r>
          </w:p>
        </w:tc>
        <w:tc>
          <w:tcPr>
            <w:tcW w:type="dxa" w:w="1694"/>
          </w:tcPr>
          <w:p>
            <w:pPr>
              <w:spacing w:after="0"/>
            </w:pPr>
            <w:r/>
            <w:r>
              <w:rPr>
                <w:b w:val="0"/>
                <w:sz w:val="17"/>
              </w:rPr>
              <w:t>32</w:t>
            </w:r>
          </w:p>
        </w:tc>
        <w:tc>
          <w:tcPr>
            <w:tcW w:type="dxa" w:w="1694"/>
          </w:tcPr>
          <w:p>
            <w:pPr>
              <w:spacing w:after="0"/>
            </w:pPr>
            <w:r/>
            <w:r>
              <w:rPr>
                <w:b w:val="0"/>
                <w:sz w:val="17"/>
              </w:rPr>
              <w:t>+32</w:t>
            </w:r>
          </w:p>
        </w:tc>
        <w:tc>
          <w:tcPr>
            <w:tcW w:type="dxa" w:w="1694"/>
          </w:tcPr>
          <w:p>
            <w:pPr>
              <w:spacing w:after="0"/>
            </w:pPr>
            <w:r/>
            <w:r>
              <w:rPr>
                <w:b w:val="0"/>
                <w:sz w:val="17"/>
              </w:rPr>
              <w:t>Paper reports 32</w:t>
            </w:r>
          </w:p>
        </w:tc>
      </w:tr>
      <w:tr>
        <w:tc>
          <w:tcPr>
            <w:tcW w:type="dxa" w:w="1694"/>
          </w:tcPr>
          <w:p>
            <w:pPr>
              <w:spacing w:after="0"/>
            </w:pPr>
            <w:r/>
            <w:r>
              <w:rPr>
                <w:b w:val="0"/>
                <w:sz w:val="17"/>
              </w:rPr>
              <w:t>Unchiprang</w:t>
            </w:r>
          </w:p>
        </w:tc>
        <w:tc>
          <w:tcPr>
            <w:tcW w:type="dxa" w:w="1694"/>
          </w:tcPr>
          <w:p>
            <w:pPr>
              <w:spacing w:after="0"/>
            </w:pPr>
            <w:r/>
            <w:r>
              <w:rPr>
                <w:b w:val="0"/>
                <w:sz w:val="17"/>
              </w:rPr>
              <w:t>Forest</w:t>
            </w:r>
          </w:p>
        </w:tc>
        <w:tc>
          <w:tcPr>
            <w:tcW w:type="dxa" w:w="1694"/>
          </w:tcPr>
          <w:p>
            <w:pPr>
              <w:spacing w:after="0"/>
            </w:pPr>
            <w:r/>
            <w:r>
              <w:rPr>
                <w:b w:val="0"/>
                <w:sz w:val="17"/>
              </w:rPr>
              <w:t>1,499</w:t>
            </w:r>
          </w:p>
        </w:tc>
        <w:tc>
          <w:tcPr>
            <w:tcW w:type="dxa" w:w="1694"/>
          </w:tcPr>
          <w:p>
            <w:pPr>
              <w:spacing w:after="0"/>
            </w:pPr>
            <w:r/>
            <w:r>
              <w:rPr>
                <w:b w:val="0"/>
                <w:sz w:val="17"/>
              </w:rPr>
              <w:t>1,452</w:t>
            </w:r>
          </w:p>
        </w:tc>
        <w:tc>
          <w:tcPr>
            <w:tcW w:type="dxa" w:w="1694"/>
          </w:tcPr>
          <w:p>
            <w:pPr>
              <w:spacing w:after="0"/>
            </w:pPr>
            <w:r/>
            <w:r>
              <w:rPr>
                <w:b w:val="0"/>
                <w:sz w:val="17"/>
              </w:rPr>
              <w:t>−47</w:t>
            </w:r>
          </w:p>
        </w:tc>
        <w:tc>
          <w:tcPr>
            <w:tcW w:type="dxa" w:w="1694"/>
          </w:tcPr>
          <w:p>
            <w:pPr>
              <w:spacing w:after="0"/>
            </w:pPr>
            <w:r/>
            <w:r>
              <w:rPr>
                <w:b w:val="0"/>
                <w:sz w:val="17"/>
              </w:rPr>
              <w:t>−3%</w:t>
            </w:r>
          </w:p>
        </w:tc>
      </w:tr>
      <w:tr>
        <w:tc>
          <w:tcPr>
            <w:tcW w:type="dxa" w:w="1694"/>
          </w:tcPr>
          <w:p>
            <w:pPr>
              <w:spacing w:after="0"/>
            </w:pPr>
            <w:r/>
            <w:r>
              <w:rPr>
                <w:b w:val="0"/>
                <w:sz w:val="17"/>
              </w:rPr>
              <w:t>Unchiprang</w:t>
            </w:r>
          </w:p>
        </w:tc>
        <w:tc>
          <w:tcPr>
            <w:tcW w:type="dxa" w:w="1694"/>
          </w:tcPr>
          <w:p>
            <w:pPr>
              <w:spacing w:after="0"/>
            </w:pPr>
            <w:r/>
            <w:r>
              <w:rPr>
                <w:b w:val="0"/>
                <w:sz w:val="17"/>
              </w:rPr>
              <w:t>Nonforest</w:t>
            </w:r>
          </w:p>
        </w:tc>
        <w:tc>
          <w:tcPr>
            <w:tcW w:type="dxa" w:w="1694"/>
          </w:tcPr>
          <w:p>
            <w:pPr>
              <w:spacing w:after="0"/>
            </w:pPr>
            <w:r/>
            <w:r>
              <w:rPr>
                <w:b w:val="0"/>
                <w:sz w:val="17"/>
              </w:rPr>
              <w:t>949</w:t>
            </w:r>
          </w:p>
        </w:tc>
        <w:tc>
          <w:tcPr>
            <w:tcW w:type="dxa" w:w="1694"/>
          </w:tcPr>
          <w:p>
            <w:pPr>
              <w:spacing w:after="0"/>
            </w:pPr>
            <w:r/>
            <w:r>
              <w:rPr>
                <w:b w:val="0"/>
                <w:sz w:val="17"/>
              </w:rPr>
              <w:t>964</w:t>
            </w:r>
          </w:p>
        </w:tc>
        <w:tc>
          <w:tcPr>
            <w:tcW w:type="dxa" w:w="1694"/>
          </w:tcPr>
          <w:p>
            <w:pPr>
              <w:spacing w:after="0"/>
            </w:pPr>
            <w:r/>
            <w:r>
              <w:rPr>
                <w:b w:val="0"/>
                <w:sz w:val="17"/>
              </w:rPr>
              <w:t>+15</w:t>
            </w:r>
          </w:p>
        </w:tc>
        <w:tc>
          <w:tcPr>
            <w:tcW w:type="dxa" w:w="1694"/>
          </w:tcPr>
          <w:p>
            <w:pPr>
              <w:spacing w:after="0"/>
            </w:pPr>
            <w:r/>
            <w:r>
              <w:rPr>
                <w:b w:val="0"/>
                <w:sz w:val="17"/>
              </w:rPr>
              <w:t>+1.5%</w:t>
            </w:r>
          </w:p>
        </w:tc>
      </w:tr>
      <w:tr>
        <w:tc>
          <w:tcPr>
            <w:tcW w:type="dxa" w:w="1694"/>
          </w:tcPr>
          <w:p>
            <w:pPr>
              <w:spacing w:after="0"/>
            </w:pPr>
            <w:r/>
            <w:r>
              <w:rPr>
                <w:b w:val="0"/>
                <w:sz w:val="17"/>
              </w:rPr>
              <w:t>Nayapara–Leda</w:t>
            </w:r>
          </w:p>
        </w:tc>
        <w:tc>
          <w:tcPr>
            <w:tcW w:type="dxa" w:w="1694"/>
          </w:tcPr>
          <w:p>
            <w:pPr>
              <w:spacing w:after="0"/>
            </w:pPr>
            <w:r/>
            <w:r>
              <w:rPr>
                <w:b w:val="0"/>
                <w:sz w:val="17"/>
              </w:rPr>
              <w:t>Camp</w:t>
            </w:r>
          </w:p>
        </w:tc>
        <w:tc>
          <w:tcPr>
            <w:tcW w:type="dxa" w:w="1694"/>
          </w:tcPr>
          <w:p>
            <w:pPr>
              <w:spacing w:after="0"/>
            </w:pPr>
            <w:r/>
            <w:r>
              <w:rPr>
                <w:b w:val="0"/>
                <w:sz w:val="17"/>
              </w:rPr>
              <w:t>29</w:t>
            </w:r>
          </w:p>
        </w:tc>
        <w:tc>
          <w:tcPr>
            <w:tcW w:type="dxa" w:w="1694"/>
          </w:tcPr>
          <w:p>
            <w:pPr>
              <w:spacing w:after="0"/>
            </w:pPr>
            <w:r/>
            <w:r>
              <w:rPr>
                <w:b w:val="0"/>
                <w:sz w:val="17"/>
              </w:rPr>
              <w:t>133</w:t>
            </w:r>
          </w:p>
        </w:tc>
        <w:tc>
          <w:tcPr>
            <w:tcW w:type="dxa" w:w="1694"/>
          </w:tcPr>
          <w:p>
            <w:pPr>
              <w:spacing w:after="0"/>
            </w:pPr>
            <w:r/>
            <w:r>
              <w:rPr>
                <w:b w:val="0"/>
                <w:sz w:val="17"/>
              </w:rPr>
              <w:t>+105</w:t>
            </w:r>
          </w:p>
        </w:tc>
        <w:tc>
          <w:tcPr>
            <w:tcW w:type="dxa" w:w="1694"/>
          </w:tcPr>
          <w:p>
            <w:pPr>
              <w:spacing w:after="0"/>
            </w:pPr>
            <w:r/>
            <w:r>
              <w:rPr>
                <w:b w:val="0"/>
                <w:sz w:val="17"/>
              </w:rPr>
              <w:t>+359%</w:t>
            </w:r>
          </w:p>
        </w:tc>
      </w:tr>
      <w:tr>
        <w:tc>
          <w:tcPr>
            <w:tcW w:type="dxa" w:w="1694"/>
          </w:tcPr>
          <w:p>
            <w:pPr>
              <w:spacing w:after="0"/>
            </w:pPr>
            <w:r/>
            <w:r>
              <w:rPr>
                <w:b w:val="0"/>
                <w:sz w:val="17"/>
              </w:rPr>
              <w:t>Nayapara–Leda</w:t>
            </w:r>
          </w:p>
        </w:tc>
        <w:tc>
          <w:tcPr>
            <w:tcW w:type="dxa" w:w="1694"/>
          </w:tcPr>
          <w:p>
            <w:pPr>
              <w:spacing w:after="0"/>
            </w:pPr>
            <w:r/>
            <w:r>
              <w:rPr>
                <w:b w:val="0"/>
                <w:sz w:val="17"/>
              </w:rPr>
              <w:t>Forest</w:t>
            </w:r>
          </w:p>
        </w:tc>
        <w:tc>
          <w:tcPr>
            <w:tcW w:type="dxa" w:w="1694"/>
          </w:tcPr>
          <w:p>
            <w:pPr>
              <w:spacing w:after="0"/>
            </w:pPr>
            <w:r/>
            <w:r>
              <w:rPr>
                <w:b w:val="0"/>
                <w:sz w:val="17"/>
              </w:rPr>
              <w:t>2,860</w:t>
            </w:r>
          </w:p>
        </w:tc>
        <w:tc>
          <w:tcPr>
            <w:tcW w:type="dxa" w:w="1694"/>
          </w:tcPr>
          <w:p>
            <w:pPr>
              <w:spacing w:after="0"/>
            </w:pPr>
            <w:r/>
            <w:r>
              <w:rPr>
                <w:b w:val="0"/>
                <w:sz w:val="17"/>
              </w:rPr>
              <w:t>2,684</w:t>
            </w:r>
          </w:p>
        </w:tc>
        <w:tc>
          <w:tcPr>
            <w:tcW w:type="dxa" w:w="1694"/>
          </w:tcPr>
          <w:p>
            <w:pPr>
              <w:spacing w:after="0"/>
            </w:pPr>
            <w:r/>
            <w:r>
              <w:rPr>
                <w:b w:val="0"/>
                <w:sz w:val="17"/>
              </w:rPr>
              <w:t>−176</w:t>
            </w:r>
          </w:p>
        </w:tc>
        <w:tc>
          <w:tcPr>
            <w:tcW w:type="dxa" w:w="1694"/>
          </w:tcPr>
          <w:p>
            <w:pPr>
              <w:spacing w:after="0"/>
            </w:pPr>
            <w:r/>
            <w:r>
              <w:rPr>
                <w:b w:val="0"/>
                <w:sz w:val="17"/>
              </w:rPr>
              <w:t>−6%</w:t>
            </w:r>
          </w:p>
        </w:tc>
      </w:tr>
      <w:tr>
        <w:tc>
          <w:tcPr>
            <w:tcW w:type="dxa" w:w="1694"/>
          </w:tcPr>
          <w:p>
            <w:pPr>
              <w:spacing w:after="0"/>
            </w:pPr>
            <w:r/>
            <w:r>
              <w:rPr>
                <w:b w:val="0"/>
                <w:sz w:val="17"/>
              </w:rPr>
              <w:t>Nayapara–Leda</w:t>
            </w:r>
          </w:p>
        </w:tc>
        <w:tc>
          <w:tcPr>
            <w:tcW w:type="dxa" w:w="1694"/>
          </w:tcPr>
          <w:p>
            <w:pPr>
              <w:spacing w:after="0"/>
            </w:pPr>
            <w:r/>
            <w:r>
              <w:rPr>
                <w:b w:val="0"/>
                <w:sz w:val="17"/>
              </w:rPr>
              <w:t>Nonforest</w:t>
            </w:r>
          </w:p>
        </w:tc>
        <w:tc>
          <w:tcPr>
            <w:tcW w:type="dxa" w:w="1694"/>
          </w:tcPr>
          <w:p>
            <w:pPr>
              <w:spacing w:after="0"/>
            </w:pPr>
            <w:r/>
            <w:r>
              <w:rPr>
                <w:b w:val="0"/>
                <w:sz w:val="17"/>
              </w:rPr>
              <w:t>925</w:t>
            </w:r>
          </w:p>
        </w:tc>
        <w:tc>
          <w:tcPr>
            <w:tcW w:type="dxa" w:w="1694"/>
          </w:tcPr>
          <w:p>
            <w:pPr>
              <w:spacing w:after="0"/>
            </w:pPr>
            <w:r/>
            <w:r>
              <w:rPr>
                <w:b w:val="0"/>
                <w:sz w:val="17"/>
              </w:rPr>
              <w:t>996</w:t>
            </w:r>
          </w:p>
        </w:tc>
        <w:tc>
          <w:tcPr>
            <w:tcW w:type="dxa" w:w="1694"/>
          </w:tcPr>
          <w:p>
            <w:pPr>
              <w:spacing w:after="0"/>
            </w:pPr>
            <w:r/>
            <w:r>
              <w:rPr>
                <w:b w:val="0"/>
                <w:sz w:val="17"/>
              </w:rPr>
              <w:t>+71</w:t>
            </w:r>
          </w:p>
        </w:tc>
        <w:tc>
          <w:tcPr>
            <w:tcW w:type="dxa" w:w="1694"/>
          </w:tcPr>
          <w:p>
            <w:pPr>
              <w:spacing w:after="0"/>
            </w:pPr>
            <w:r/>
            <w:r>
              <w:rPr>
                <w:b w:val="0"/>
                <w:sz w:val="17"/>
              </w:rPr>
              <w:t>+8%</w:t>
            </w:r>
          </w:p>
        </w:tc>
      </w:tr>
    </w:tbl>
    <w:p>
      <w:pPr>
        <w:pStyle w:val="Callout"/>
      </w:pPr>
      <w:r>
        <w:rPr>
          <w:b/>
        </w:rPr>
        <w:t xml:space="preserve">Interpretation caution: </w:t>
      </w:r>
      <w:r>
        <w:t>The paper reports gross land-cover conversion flows as well as net class changes. For example, Unchiprang’s gross forest-to-nonforest and forest-to-camp flows are larger than its net forest decline because reciprocal transitions and class gains are also present. Net loss and gross conversion must not be conflated.</w:t>
      </w:r>
    </w:p>
    <w:p>
      <w:pPr>
        <w:pStyle w:val="Heading1"/>
      </w:pPr>
      <w:r>
        <w:t>14. Authors’ Interpretation</w:t>
      </w:r>
    </w:p>
    <w:p>
      <w:r>
        <w:t>The authors interpret the observed change as rapid conversion of forested hills for shelters, infrastructure, fuelwood, timber and other subsistence needs. They link the transformation to protected-forest degradation, elephant-corridor obstruction, wildlife conflict, biodiversity loss and increased landslide risk. Their policy recommendations include alternative fuels, stronger protection of ecologically sensitive areas, better organised settlement planning and longer-term crisis management.</w:t>
      </w:r>
    </w:p>
    <w:p>
      <w:pPr>
        <w:pStyle w:val="Heading1"/>
      </w:pPr>
      <w:r>
        <w:t>15. Limitations Stated by the Authors</w:t>
      </w:r>
    </w:p>
    <w:p>
      <w:pPr>
        <w:pStyle w:val="ListBullet"/>
        <w:spacing w:after="60"/>
      </w:pPr>
      <w:r>
        <w:t>Persistent monsoon cloud cover prevented imagery close to the August 2017 treatment date and restricted analysis to dry-season scenes.</w:t>
      </w:r>
    </w:p>
    <w:p>
      <w:pPr>
        <w:pStyle w:val="ListBullet"/>
        <w:spacing w:after="60"/>
      </w:pPr>
      <w:r>
        <w:t>High-resolution Google Earth imagery was unavailable for the 2017 validation period, requiring reliance on Sentinel-2 and field reference data.</w:t>
      </w:r>
    </w:p>
    <w:p>
      <w:pPr>
        <w:pStyle w:val="ListBullet"/>
        <w:spacing w:after="60"/>
      </w:pPr>
      <w:r>
        <w:t>Some remote settlements under tree shade were not detectable at the available spatial resolution.</w:t>
      </w:r>
    </w:p>
    <w:p>
      <w:pPr>
        <w:pStyle w:val="ListBullet"/>
        <w:spacing w:after="60"/>
      </w:pPr>
      <w:r>
        <w:t>Some homestead vegetation in the north and northeast was misclassified as forest.</w:t>
      </w:r>
    </w:p>
    <w:p>
      <w:pPr>
        <w:pStyle w:val="Heading1"/>
      </w:pPr>
      <w:r>
        <w:t>16. Limitations Identified for Our Research</w:t>
      </w:r>
    </w:p>
    <w:p>
      <w:pPr>
        <w:pStyle w:val="ListBullet"/>
        <w:spacing w:after="60"/>
      </w:pPr>
      <w:r>
        <w:t>Two-date pre/post design cannot establish a long-term baseline or distinguish a treatment shock from pre-existing trends.</w:t>
      </w:r>
    </w:p>
    <w:p>
      <w:pPr>
        <w:pStyle w:val="ListBullet"/>
        <w:spacing w:after="60"/>
      </w:pPr>
      <w:r>
        <w:t>No matched control area, counterfactual model or formal causal identification strategy was used.</w:t>
      </w:r>
    </w:p>
    <w:p>
      <w:pPr>
        <w:pStyle w:val="ListBullet"/>
        <w:spacing w:after="60"/>
      </w:pPr>
      <w:r>
        <w:t>The paper sometimes uses causal wording, but the design supports descriptive association and temporal coincidence rather than a defensible causal estimate.</w:t>
      </w:r>
    </w:p>
    <w:p>
      <w:pPr>
        <w:pStyle w:val="ListBullet"/>
        <w:spacing w:after="60"/>
      </w:pPr>
      <w:r>
        <w:t>No fragmentation metrics such as patch density, edge density, core area or connectivity were calculated.</w:t>
      </w:r>
    </w:p>
    <w:p>
      <w:pPr>
        <w:pStyle w:val="ListBullet"/>
        <w:spacing w:after="60"/>
      </w:pPr>
      <w:r>
        <w:t>No above-ground biomass or carbon loss was quantified, despite discussing carbon-storage implications.</w:t>
      </w:r>
    </w:p>
    <w:p>
      <w:pPr>
        <w:pStyle w:val="ListBullet"/>
        <w:spacing w:after="60"/>
      </w:pPr>
      <w:r>
        <w:t>No time-varying camp-boundary or exposure measure was used; buffers were static and chosen around existing camps.</w:t>
      </w:r>
    </w:p>
    <w:p>
      <w:pPr>
        <w:pStyle w:val="ListBullet"/>
        <w:spacing w:after="60"/>
      </w:pPr>
      <w:r>
        <w:t>No spatial-block validation, probability-sample area adjustment, or explicit uncertainty interval for change area was reported.</w:t>
      </w:r>
    </w:p>
    <w:p>
      <w:pPr>
        <w:pStyle w:val="ListBullet"/>
        <w:spacing w:after="60"/>
      </w:pPr>
      <w:r>
        <w:t>No reproducible code, fitted model or reusable training dataset was supplied in the article.</w:t>
      </w:r>
    </w:p>
    <w:p>
      <w:pPr>
        <w:pStyle w:val="Heading1"/>
      </w:pPr>
      <w:r>
        <w:t>17. Relevance to Our Study</w:t>
      </w:r>
    </w:p>
    <w:p>
      <w:r>
        <w:t>This is a foundational direct comparator. It provides the earliest high-resolution quantitative benchmark for the 2017 crisis, demonstrates a feasible Sentinel-2–Random Forest–field-data workflow, and offers site-level loss estimates against which later studies can be compared. It also defines precisely what our proposed study must extend: time horizon, causal identification, fragmentation, carbon, driver interpretation, uncertainty and policy-priority integration.</w:t>
      </w:r>
    </w:p>
    <w:p>
      <w:pPr>
        <w:pStyle w:val="Heading1"/>
      </w:pPr>
      <w:r>
        <w:t>18. Research Gap Identified</w:t>
      </w:r>
    </w:p>
    <w:p>
      <w:pPr>
        <w:pStyle w:val="ListBullet"/>
        <w:spacing w:after="60"/>
      </w:pPr>
      <w:r>
        <w:t>Move from two dates to annual forest-loss trajectories over 2001–2025.</w:t>
      </w:r>
    </w:p>
    <w:p>
      <w:pPr>
        <w:pStyle w:val="ListBullet"/>
        <w:spacing w:after="60"/>
      </w:pPr>
      <w:r>
        <w:t>Use a long pre-treatment baseline and Synthetic Difference-in-Differences to estimate additional post-2017 loss.</w:t>
      </w:r>
    </w:p>
    <w:p>
      <w:pPr>
        <w:pStyle w:val="ListBullet"/>
        <w:spacing w:after="60"/>
      </w:pPr>
      <w:r>
        <w:t>Measure fragmentation, core-area loss and connectivity change, not merely area conversion.</w:t>
      </w:r>
    </w:p>
    <w:p>
      <w:pPr>
        <w:pStyle w:val="ListBullet"/>
        <w:spacing w:after="60"/>
      </w:pPr>
      <w:r>
        <w:t>Estimate associated above-ground biomass, carbon and CO₂-equivalent losses.</w:t>
      </w:r>
    </w:p>
    <w:p>
      <w:pPr>
        <w:pStyle w:val="ListBullet"/>
        <w:spacing w:after="60"/>
      </w:pPr>
      <w:r>
        <w:t>Use time-varying camp exposure, population, road and climate predictors with spatially valid cross-validation.</w:t>
      </w:r>
    </w:p>
    <w:p>
      <w:pPr>
        <w:pStyle w:val="ListBullet"/>
        <w:spacing w:after="60"/>
      </w:pPr>
      <w:r>
        <w:t>Separate predictive association (SHAP/XAI) from causal attribution.</w:t>
      </w:r>
    </w:p>
    <w:p>
      <w:pPr>
        <w:pStyle w:val="ListBullet"/>
        <w:spacing w:after="60"/>
      </w:pPr>
      <w:r>
        <w:t>Integrate risk, carbon, connectivity and protected-area value into conservation-priority mapping.</w:t>
      </w:r>
    </w:p>
    <w:p>
      <w:pPr>
        <w:pStyle w:val="Heading1"/>
      </w:pPr>
      <w:r>
        <w:t>19. How This Paper Will Be Cited in Our Report</w:t>
      </w:r>
    </w:p>
    <w:tbl>
      <w:tblPr>
        <w:tblStyle w:val="TableGrid"/>
        <w:tblW w:type="auto" w:w="0"/>
        <w:jc w:val="center"/>
        <w:tblLook w:firstColumn="1" w:firstRow="1" w:lastColumn="0" w:lastRow="0" w:noHBand="0" w:noVBand="1" w:val="04A0"/>
      </w:tblPr>
      <w:tblGrid>
        <w:gridCol w:w="5083"/>
        <w:gridCol w:w="5083"/>
      </w:tblGrid>
      <w:tr>
        <w:tc>
          <w:tcPr>
            <w:tcW w:type="dxa" w:w="5083"/>
            <w:shd w:fill="1F4E78"/>
          </w:tcPr>
          <w:p>
            <w:pPr>
              <w:spacing w:after="0"/>
            </w:pPr>
            <w:r/>
            <w:r>
              <w:rPr>
                <w:b/>
                <w:color w:val="FFFFFF"/>
                <w:sz w:val="19"/>
              </w:rPr>
              <w:t>Report section</w:t>
            </w:r>
          </w:p>
        </w:tc>
        <w:tc>
          <w:tcPr>
            <w:tcW w:type="dxa" w:w="5083"/>
            <w:shd w:fill="1F4E78"/>
          </w:tcPr>
          <w:p>
            <w:pPr>
              <w:spacing w:after="0"/>
            </w:pPr>
            <w:r/>
            <w:r>
              <w:rPr>
                <w:b/>
                <w:color w:val="FFFFFF"/>
                <w:sz w:val="19"/>
              </w:rPr>
              <w:t>Planned use</w:t>
            </w:r>
          </w:p>
        </w:tc>
      </w:tr>
      <w:tr>
        <w:tc>
          <w:tcPr>
            <w:tcW w:type="dxa" w:w="5083"/>
          </w:tcPr>
          <w:p>
            <w:pPr>
              <w:spacing w:after="0"/>
            </w:pPr>
            <w:r/>
            <w:r>
              <w:rPr>
                <w:b/>
                <w:color w:val="1F4E78"/>
                <w:sz w:val="19"/>
              </w:rPr>
              <w:t>Introduction / background</w:t>
            </w:r>
          </w:p>
        </w:tc>
        <w:tc>
          <w:tcPr>
            <w:tcW w:type="dxa" w:w="5083"/>
          </w:tcPr>
          <w:p>
            <w:pPr>
              <w:spacing w:after="0"/>
            </w:pPr>
            <w:r/>
            <w:r>
              <w:rPr>
                <w:b w:val="0"/>
                <w:sz w:val="19"/>
              </w:rPr>
              <w:t>Evidence that forest conversion accelerated rapidly around major camp complexes immediately after the 2017 influx.</w:t>
            </w:r>
          </w:p>
        </w:tc>
      </w:tr>
      <w:tr>
        <w:tc>
          <w:tcPr>
            <w:tcW w:type="dxa" w:w="5083"/>
          </w:tcPr>
          <w:p>
            <w:pPr>
              <w:spacing w:after="0"/>
            </w:pPr>
            <w:r/>
            <w:r>
              <w:rPr>
                <w:b/>
                <w:color w:val="1F4E78"/>
                <w:sz w:val="19"/>
              </w:rPr>
              <w:t>Literature review — direct forest change</w:t>
            </w:r>
          </w:p>
        </w:tc>
        <w:tc>
          <w:tcPr>
            <w:tcW w:type="dxa" w:w="5083"/>
          </w:tcPr>
          <w:p>
            <w:pPr>
              <w:spacing w:after="0"/>
            </w:pPr>
            <w:r/>
            <w:r>
              <w:rPr>
                <w:b w:val="0"/>
                <w:sz w:val="19"/>
              </w:rPr>
              <w:t>Foundational direct remote-sensing study using Sentinel-2, Random Forest and field validation.</w:t>
            </w:r>
          </w:p>
        </w:tc>
      </w:tr>
      <w:tr>
        <w:tc>
          <w:tcPr>
            <w:tcW w:type="dxa" w:w="5083"/>
          </w:tcPr>
          <w:p>
            <w:pPr>
              <w:spacing w:after="0"/>
            </w:pPr>
            <w:r/>
            <w:r>
              <w:rPr>
                <w:b/>
                <w:color w:val="1F4E78"/>
                <w:sz w:val="19"/>
              </w:rPr>
              <w:t>Methods justification</w:t>
            </w:r>
          </w:p>
        </w:tc>
        <w:tc>
          <w:tcPr>
            <w:tcW w:type="dxa" w:w="5083"/>
          </w:tcPr>
          <w:p>
            <w:pPr>
              <w:spacing w:after="0"/>
            </w:pPr>
            <w:r/>
            <w:r>
              <w:rPr>
                <w:b w:val="0"/>
                <w:sz w:val="19"/>
              </w:rPr>
              <w:t>Benchmark for class design, dry-season imagery, training/reference data and accuracy assessment.</w:t>
            </w:r>
          </w:p>
        </w:tc>
      </w:tr>
      <w:tr>
        <w:tc>
          <w:tcPr>
            <w:tcW w:type="dxa" w:w="5083"/>
          </w:tcPr>
          <w:p>
            <w:pPr>
              <w:spacing w:after="0"/>
            </w:pPr>
            <w:r/>
            <w:r>
              <w:rPr>
                <w:b/>
                <w:color w:val="1F4E78"/>
                <w:sz w:val="19"/>
              </w:rPr>
              <w:t>Research gap</w:t>
            </w:r>
          </w:p>
        </w:tc>
        <w:tc>
          <w:tcPr>
            <w:tcW w:type="dxa" w:w="5083"/>
          </w:tcPr>
          <w:p>
            <w:pPr>
              <w:spacing w:after="0"/>
            </w:pPr>
            <w:r/>
            <w:r>
              <w:rPr>
                <w:b w:val="0"/>
                <w:sz w:val="19"/>
              </w:rPr>
              <w:t>Short-term descriptive design without annual trend, carbon, fragmentation or counterfactual causal attribution.</w:t>
            </w:r>
          </w:p>
        </w:tc>
      </w:tr>
      <w:tr>
        <w:tc>
          <w:tcPr>
            <w:tcW w:type="dxa" w:w="5083"/>
          </w:tcPr>
          <w:p>
            <w:pPr>
              <w:spacing w:after="0"/>
            </w:pPr>
            <w:r/>
            <w:r>
              <w:rPr>
                <w:b/>
                <w:color w:val="1F4E78"/>
                <w:sz w:val="19"/>
              </w:rPr>
              <w:t>Discussion</w:t>
            </w:r>
          </w:p>
        </w:tc>
        <w:tc>
          <w:tcPr>
            <w:tcW w:type="dxa" w:w="5083"/>
          </w:tcPr>
          <w:p>
            <w:pPr>
              <w:spacing w:after="0"/>
            </w:pPr>
            <w:r/>
            <w:r>
              <w:rPr>
                <w:b w:val="0"/>
                <w:sz w:val="19"/>
              </w:rPr>
              <w:t>Comparator for magnitude, spatial direction and policy implications of early post-influx forest loss.</w:t>
            </w:r>
          </w:p>
        </w:tc>
      </w:tr>
    </w:tbl>
    <w:p>
      <w:pPr>
        <w:pStyle w:val="Heading1"/>
      </w:pPr>
      <w:r>
        <w:t>20. Important Figures and Tables</w:t>
      </w:r>
    </w:p>
    <w:p>
      <w:pPr>
        <w:pStyle w:val="ListBullet"/>
        <w:spacing w:after="60"/>
      </w:pPr>
      <w:r>
        <w:t>Table 1 — Camp buffers, geographic locations, refugee populations and elevation.</w:t>
      </w:r>
    </w:p>
    <w:p>
      <w:pPr>
        <w:pStyle w:val="ListBullet"/>
        <w:spacing w:after="60"/>
      </w:pPr>
      <w:r>
        <w:t>Figure 2 — Study area, camp clusters, protected area and topography.</w:t>
      </w:r>
    </w:p>
    <w:p>
      <w:pPr>
        <w:pStyle w:val="ListBullet"/>
        <w:spacing w:after="60"/>
      </w:pPr>
      <w:r>
        <w:t>Figure 3 — False-colour Sentinel imagery before and after the influx.</w:t>
      </w:r>
    </w:p>
    <w:p>
      <w:pPr>
        <w:pStyle w:val="ListBullet"/>
        <w:spacing w:after="60"/>
      </w:pPr>
      <w:r>
        <w:t>Table 2 — Remote-sensing, geospatial and socioeconomic dataset inventory.</w:t>
      </w:r>
    </w:p>
    <w:p>
      <w:pPr>
        <w:pStyle w:val="ListBullet"/>
        <w:spacing w:after="60"/>
      </w:pPr>
      <w:r>
        <w:t>Figure 5 — Classified forest, nonforest and camp maps for December 2016 and December 2017.</w:t>
      </w:r>
    </w:p>
    <w:p>
      <w:pPr>
        <w:pStyle w:val="ListBullet"/>
        <w:spacing w:after="60"/>
      </w:pPr>
      <w:r>
        <w:t>Table 3 — Site-level area and net-change statistics.</w:t>
      </w:r>
    </w:p>
    <w:p>
      <w:pPr>
        <w:pStyle w:val="ListBullet"/>
        <w:spacing w:after="60"/>
      </w:pPr>
      <w:r>
        <w:t>Figure 6 — Directional NDVI profiles west and southwest of Kutupalong–Balukhali.</w:t>
      </w:r>
    </w:p>
    <w:p>
      <w:pPr>
        <w:pStyle w:val="ListBullet"/>
        <w:spacing w:after="60"/>
      </w:pPr>
      <w:r>
        <w:t>Figure 7 — Forest-to-camp, forest-to-nonforest and nonforest-to-camp conversions.</w:t>
      </w:r>
    </w:p>
    <w:p>
      <w:pPr>
        <w:pStyle w:val="ListBullet"/>
        <w:spacing w:after="60"/>
      </w:pPr>
      <w:r>
        <w:t>Figure 8 — Field photographs of razed hills and degraded forest at Balukhali.</w:t>
      </w:r>
    </w:p>
    <w:p>
      <w:pPr>
        <w:pStyle w:val="Heading1"/>
      </w:pPr>
      <w:r>
        <w:t>21. Direct Quotes — Optional and Limited</w:t>
      </w:r>
    </w:p>
    <w:p>
      <w:r>
        <w:t>No direct quotations were retained. The extraction uses paraphrased evidence and numerical results, with page/section references, to support synthesis while avoiding unnecessary verbatim reproduction.</w:t>
      </w:r>
    </w:p>
    <w:tbl>
      <w:tblPr>
        <w:tblW w:type="auto" w:w="0"/>
        <w:tblLook w:firstColumn="1" w:firstRow="1" w:lastColumn="0" w:lastRow="0" w:noHBand="0" w:noVBand="1" w:val="04A0"/>
      </w:tblPr>
      <w:tblGrid>
        <w:gridCol w:w="10166"/>
      </w:tblGrid>
      <w:tr>
        <w:tc>
          <w:tcPr>
            <w:tcW w:type="dxa" w:w="10166"/>
            <w:shd w:fill="E8F4EA"/>
          </w:tcPr>
          <w:p>
            <w:r>
              <w:rPr>
                <w:b/>
                <w:color w:val="2E6B3F"/>
              </w:rPr>
              <w:t>Completion decision: P001 is ready for inclusion in the formal literature synthesis.</w:t>
            </w:r>
          </w:p>
        </w:tc>
      </w:tr>
    </w:tbl>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P001 evidence extraction | Prepared 13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Rohingya Forest Impact Research — Literature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ptos" w:hAnsi="Aptos"/>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w:hAnsi="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8"/>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20"/>
      <w:ind w:left="259" w:right="259"/>
    </w:pPr>
    <w:rPr>
      <w:rFonts w:ascii="Aptos" w:hAnsi="Aptos"/>
      <w:color w:val="1F2937"/>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mdpi.com/2072-4292/10/5/689" TargetMode="External"/><Relationship Id="rId12" Type="http://schemas.openxmlformats.org/officeDocument/2006/relationships/hyperlink" Target="https://doi.org/10.3390/rs10050689" TargetMode="External"/><Relationship Id="rId13" Type="http://schemas.openxmlformats.org/officeDocument/2006/relationships/hyperlink" Target="https://vtechworks.lib.vt.edu/bitstreams/9489ffe2-222b-4384-a211-26bcb847e780/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