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Literature Notes</w:t>
      </w:r>
    </w:p>
    <w:p>
      <w:r>
        <w:t>Detailed reading notes will be added during Step 2 (Literature Review). Papers will also be logged in Literature_Review_Matrix.xlsx.</w:t>
      </w:r>
    </w:p>
    <w:p/>
    <w:p>
      <w:pPr/>
      <w:r>
        <w:t>Literature Notes — P001 Update</w:t>
      </w:r>
    </w:p>
    <w:p>
      <w:pPr/>
      <w:r>
        <w:t>Theme 1: Forest and Land-Cover Change</w:t>
      </w:r>
    </w:p>
    <w:p>
      <w:pPr>
        <w:pStyle w:val="Heading1"/>
      </w:pPr>
      <w:r>
        <w:t>P001 — Hassan et al. (2018)</w:t>
      </w:r>
    </w:p>
    <w:p>
      <w:pPr>
        <w:pStyle w:val="Heading2"/>
      </w:pPr>
      <w:r>
        <w:t>Study purpose</w:t>
      </w:r>
    </w:p>
    <w:p>
      <w:pPr/>
      <w:r>
        <w:t>Quantified the expansion of three major Rohingya camp concentrations and associated forest-cover change in Teknaf using a pre-influx/post-influx remote-sensing comparison.</w:t>
      </w:r>
    </w:p>
    <w:p>
      <w:pPr>
        <w:pStyle w:val="Heading2"/>
      </w:pPr>
      <w:r>
        <w:t>Data and method</w:t>
      </w:r>
    </w:p>
    <w:p>
      <w:pPr/>
      <w:r>
        <w:t>Sentinel-2A/2B imagery at 10 m, QuickBird, SRTM, GPS/spatial-video field samples, Google Earth and institutional population/camp data. A Random Forest classifier used 16 spectral and topographic predictors, with six initial classes merged to forest, nonforest and camp. Accuracy was assessed using OOB estimates and independent reference samples.</w:t>
      </w:r>
    </w:p>
    <w:p>
      <w:pPr>
        <w:pStyle w:val="Heading2"/>
      </w:pPr>
      <w:r>
        <w:t>Main contribution</w:t>
      </w:r>
    </w:p>
    <w:p>
      <w:pPr/>
      <w:r>
        <w:t>The paper established an early quantitative benchmark for the 2017 influx. Across Kutupalong–Balukhali, Unchiprang and Nayapara–Leda, net camp area increased by 1,356 ha and forest declined by 2,283 ha between December 2016 and December 2017. Kutupalong–Balukhali alone lost 2,060 ha of forest. Overall accuracies exceeded 94%, with Kappa values of 0.93–0.94.</w:t>
      </w:r>
    </w:p>
    <w:p>
      <w:pPr>
        <w:pStyle w:val="Heading2"/>
      </w:pPr>
      <w:r>
        <w:t>Main limitation</w:t>
      </w:r>
    </w:p>
    <w:p>
      <w:pPr/>
      <w:r>
        <w:t>The analysis is a short-term two-date descriptive comparison. It does not establish a counterfactual or causal effect, calculate fragmentation metrics, estimate biomass/carbon loss, or provide a long annual trajectory. Cloud cover and limited post-influx high-resolution validation imagery also constrained the analysis.</w:t>
      </w:r>
    </w:p>
    <w:p>
      <w:pPr>
        <w:pStyle w:val="Heading2"/>
      </w:pPr>
      <w:r>
        <w:t>Relevance to proposed research</w:t>
      </w:r>
    </w:p>
    <w:p>
      <w:pPr/>
      <w:r>
        <w:t>P001 is a foundational direct comparator and supports the use of Sentinel imagery, Random Forest classification and field reference data. Our research will extend it through a 2001–2025 annual record, fragmentation and carbon accounting, spatially validated explainable ML, time-varying camp exposure, and SDID-based causal attribution.</w:t>
      </w:r>
    </w:p>
    <w:p>
      <w:pPr>
        <w:pStyle w:val="Heading2"/>
      </w:pPr>
      <w:r>
        <w:t>Evidence note for the literature review</w:t>
      </w:r>
    </w:p>
    <w:p>
      <w:pPr/>
      <w:r>
        <w:t>Hassan et al. (2018) provided one of the earliest high-resolution quantitative assessments of post-influx forest conversion in Teknaf. Their results documented rapid settlement expansion and a net loss of 2,283 ha of forest around three major camp zones within roughly one year. However, the two-date design remained descriptive and did not estimate a counterfactual, fragmentation effects or carbon consequences. This makes the study both a key empirical benchmark and a clear basis for the proposed integrated long-term analysis.</w:t>
      </w:r>
    </w:p>
    <w:p>
      <w:pPr>
        <w:pStyle w:val="Heading2"/>
      </w:pPr>
      <w:r>
        <w:t>Verified citation</w:t>
      </w:r>
    </w:p>
    <w:p>
      <w:pPr/>
      <w:r>
        <w:t>Hassan, M. M., Smith, A. C., Walker, K., Rahman, M. K., &amp; Southworth, J. (2018). Rohingya refugee crisis and forest cover change in Teknaf, Bangladesh. Remote Sensing, 10(5), 689. https://doi.org/10.3390/rs10050689</w:t>
      </w:r>
    </w:p>
    <w:p/>
    <w:p>
      <w:pPr>
        <w:pStyle w:val="Heading1"/>
      </w:pPr>
      <w:r>
        <w:t>Theme 1 — Forest and Land-Cover Change</w:t>
      </w:r>
    </w:p>
    <w:p>
      <w:pPr>
        <w:pStyle w:val="Heading2"/>
      </w:pPr>
      <w:r>
        <w:t>P002 — Dampha et al. (2022)</w:t>
      </w:r>
    </w:p>
    <w:p>
      <w:r>
        <w:t>The study combined Landsat-based land-cover classification with econometric analysis to evaluate forest loss around Rohingya camps. It estimated approximately 2,653.7 ha of additional forest loss within 5 km of camp boundaries relative to a counterfactual control zone.</w:t>
      </w:r>
    </w:p>
    <w:p>
      <w:pPr>
        <w:pStyle w:val="Heading1"/>
      </w:pPr>
      <w:r>
        <w:t>Theme 6 — Causal Attribution</w:t>
      </w:r>
    </w:p>
    <w:p>
      <w:pPr>
        <w:pStyle w:val="Heading2"/>
      </w:pPr>
      <w:r>
        <w:t>P002 — Dampha et al. (2022)</w:t>
      </w:r>
    </w:p>
    <w:p>
      <w:r>
        <w:t>P002 is the principal existing causal benchmark for the proposed research. It used a 0–5 km treatment zone, a 10–15 km control zone, pixel and year fixed effects, placebo treatment years and buffer sensitivity tests.</w:t>
      </w:r>
    </w:p>
    <w:p>
      <w:r>
        <w:t>Its main limitations are the use of only four LULC dates, one post-treatment observation, static camp proximity, possible spatial spillover, lack of spatially clustered uncertainty, and the absence of fragmentation and carbon outcomes.</w:t>
      </w:r>
    </w:p>
    <w:p/>
    <w:p>
      <w:pPr>
        <w:pStyle w:val="Heading1"/>
      </w:pPr>
      <w:r>
        <w:t>Theme 1 — Forest and Land-Cover Change</w:t>
      </w:r>
    </w:p>
    <w:p>
      <w:pPr>
        <w:pStyle w:val="Heading2"/>
      </w:pPr>
      <w:r>
        <w:t>P004 — Rahaman et al. (2022)</w:t>
      </w:r>
    </w:p>
    <w:p>
      <w:r>
        <w:t>Rahaman et al. integrated remote-sensing indicators and machine learning to monitor forest degradation across Cox's Bazar. The study reported that deep vegetation declined by approximately 74.28 km² between 2013 and 2019, with the strongest degradation observed in Teknaf and Ukhia. The decline in deep vegetation was accompanied by an expansion of shallow vegetation.</w:t>
      </w:r>
    </w:p>
    <w:p>
      <w:pPr>
        <w:pStyle w:val="Heading1"/>
      </w:pPr>
      <w:r>
        <w:t>Theme — Machine Learning and Prediction</w:t>
      </w:r>
    </w:p>
    <w:p>
      <w:pPr>
        <w:pStyle w:val="Heading2"/>
      </w:pPr>
      <w:r>
        <w:t>P004 — Rahaman et al. (2022)</w:t>
      </w:r>
    </w:p>
    <w:p>
      <w:r>
        <w:t>The study considered Maximum Likelihood Classification, Support Vector Machine, Random Forest and Artificial Neural Network approaches. Random Forest was used to reaffirm spatial degradation patterns and support land-use prediction to 2030.</w:t>
      </w:r>
    </w:p>
    <w:p>
      <w:r>
        <w:t>The projected results suggested an increase of approximately 150.92 km² in shallow vegetation near refugee camps between 2013 and 2030. However, the accessible material does not provide sufficient information to verify the validation design, model settings or predictive uncertainty.</w:t>
      </w:r>
    </w:p>
    <w:p>
      <w:pPr>
        <w:pStyle w:val="Heading2"/>
      </w:pPr>
      <w:r>
        <w:t>Critical evidence note</w:t>
      </w:r>
    </w:p>
    <w:p>
      <w:r>
        <w:t>P004 supports the use of machine learning for monitoring and predicting vegetation degradation, but it should not be treated as causal evidence. It does not estimate the counterfactual forest condition in the absence of the refugee influx and does not provide SHAP-based interpretation, fragmentation analysis or carbon-loss attribution.</w:t>
      </w:r>
    </w:p>
    <w:p/>
    <w:p>
      <w:pPr>
        <w:pStyle w:val="Heading1"/>
      </w:pPr>
      <w:r>
        <w:t>Theme — Biomass and Carbon</w:t>
      </w:r>
    </w:p>
    <w:p>
      <w:pPr>
        <w:pStyle w:val="Heading2"/>
      </w:pPr>
      <w:r>
        <w:t>P005 — Mahmood et al. (2025)</w:t>
      </w:r>
    </w:p>
    <w:p>
      <w:r>
        <w:t>The study provides one of the first field-based estimates of biomass and carbon recovery in restored forest sites associated with the Rohingya refugee-camp landscape.</w:t>
      </w:r>
    </w:p>
    <w:p>
      <w:r>
        <w:t>The restored sites contained a mean above-ground biomass of 33.34 ± 5.76 t/ha and below-ground biomass of 2.26 ± 0.32 t/ha. Mean carbon stock across five pools was 93.90 ± 4.85 t/ha, with soil carbon to 30 cm representing the dominant pool.</w:t>
      </w:r>
    </w:p>
    <w:p>
      <w:r>
        <w:t>The study also developed basal-area-based allometric models for above-ground biomass and carbon stock, with adjusted R² values above 0.97.</w:t>
      </w:r>
    </w:p>
    <w:p>
      <w:pPr>
        <w:pStyle w:val="Heading2"/>
      </w:pPr>
      <w:r>
        <w:t>Critical evidence note</w:t>
      </w:r>
    </w:p>
    <w:p>
      <w:r>
        <w:t>P005 is highly relevant for defining plausible biomass and carbon densities in restored camp-affected forests. However, it estimates current restoration-site stocks rather than historical forest-loss emissions or influx-attributable carbon loss.</w:t>
      </w:r>
    </w:p>
    <w:p>
      <w:r>
        <w:t>It therefore supports carbon parameterization and validation, but does not replace the proposed remote-sensing carbon-loss accounting and causal attribution.</w:t>
      </w:r>
    </w:p>
    <w:p/>
    <w:p>
      <w:pPr>
        <w:pStyle w:val="Heading1"/>
      </w:pPr>
      <w:r>
        <w:t>Theme — Fragmentation</w:t>
      </w:r>
    </w:p>
    <w:p>
      <w:pPr>
        <w:pStyle w:val="Heading2"/>
      </w:pPr>
      <w:r>
        <w:t>P006 — Mitra et al. (2025)</w:t>
      </w:r>
    </w:p>
    <w:p>
      <w:r>
        <w:t>Using Sentinel-2 imagery from 2016 and 2024, Mitra et al. documented a 54.6% decline in forest area within the Rohingya camp landscape, from 1,688.8 ha to 767.3 ha.</w:t>
      </w:r>
    </w:p>
    <w:p>
      <w:r>
        <w:t>Forest fragmentation increased substantially: the number of forest patches rose from 663 to 2,468, patch density increased from 26.6 to 98.9, forest cohesion declined and the aggregation index decreased from 91.9 to 75.2.</w:t>
      </w:r>
    </w:p>
    <w:p>
      <w:r>
        <w:t>At landscape level, the number of patches increased from 7,724 to 12,917 and patch density increased from 309.4 to 517.5.</w:t>
      </w:r>
    </w:p>
    <w:p>
      <w:pPr>
        <w:pStyle w:val="Heading1"/>
      </w:pPr>
      <w:r>
        <w:t>Theme — Population and Drivers</w:t>
      </w:r>
    </w:p>
    <w:p>
      <w:r>
        <w:t>Camp-specific forest and settlement changes had a strong negative correlation of −0.73. Camp 15, with approximately 57,922 people, experienced the largest settlement increase and forest decline.</w:t>
      </w:r>
    </w:p>
    <w:p>
      <w:r>
        <w:t>However, this correlation represents association rather than causal attribution, and settlement change was used as a proxy for historical population change.</w:t>
      </w:r>
    </w:p>
    <w:p/>
    <w:p>
      <w:pPr>
        <w:pStyle w:val="Heading1"/>
      </w:pPr>
      <w:r>
        <w:t>Theme — Causal Inference</w:t>
      </w:r>
    </w:p>
    <w:p>
      <w:pPr>
        <w:pStyle w:val="Heading2"/>
      </w:pPr>
      <w:r>
        <w:t>P007 — Arkhangelsky et al. (2021)</w:t>
      </w:r>
    </w:p>
    <w:p>
      <w:r>
        <w:t>Arkhangelsky et al. introduced Synthetic Difference-in-Differences, a panel-data estimator combining unit weighting from synthetic control with time weighting and Difference-in-Differences regression.</w:t>
      </w:r>
    </w:p>
    <w:p>
      <w:r>
        <w:t>Unit weights construct a synthetic control group that better matches the treated group’s pre-treatment outcome trajectory. Time weights emphasize pre-treatment periods that are most informative about the post-treatment period. The final treatment effect is estimated using a weighted regression containing unit and time fixed effects.</w:t>
      </w:r>
    </w:p>
    <w:p>
      <w:r>
        <w:t>The method is directly relevant to the proposed research because camp-affected and control landscapes may differ in baseline forest cover, accessibility, protected status and historical forest trends. SDID provides a structured way to improve pre-treatment comparability before estimating post-2017 forest and carbon effects.</w:t>
      </w:r>
    </w:p>
    <w:p>
      <w:pPr>
        <w:pStyle w:val="Heading3"/>
      </w:pPr>
      <w:r>
        <w:t>Critical evidence note</w:t>
      </w:r>
    </w:p>
    <w:p>
      <w:r>
        <w:t>SDID does not remove the need for a defensible research design. The treatment boundary, transition year, donor pool, interference risk, outcome measurement and spatial inference must still be explicitly justified.</w:t>
      </w:r>
    </w:p>
    <w:p>
      <w:r>
        <w:t>The proposed study will therefore report conventional DiD, synthetic-control and SDID estimates together with pre-fit, weight-concentration, placebo and spillover diagnostics.</w:t>
      </w:r>
    </w:p>
    <w:p/>
    <w:p>
      <w:pPr>
        <w:pStyle w:val="Heading1"/>
      </w:pPr>
      <w:r>
        <w:t>Theme — Causal Inference</w:t>
      </w:r>
    </w:p>
    <w:p>
      <w:pPr>
        <w:pStyle w:val="Heading2"/>
      </w:pPr>
      <w:r>
        <w:t>P008 — Salemi (2025)</w:t>
      </w:r>
    </w:p>
    <w:p>
      <w:r>
        <w:t>Salemi applies propensity-score matching and a Difference-in-Differences event-study design to annual Dynamic World land-cover probabilities from 2016 to 2023. Areas within 0–5 km of camp boundaries are matched to landscapes more than 20 km away using pre-treatment land-cover probabilities and protected-area status.</w:t>
      </w:r>
    </w:p>
    <w:p>
      <w:r>
        <w:t>The estimated forest effect peaks at −4.6 percentage points in 2019 before narrowing to approximately −1.7 points in 2023. Settlement cover continues to expand, reaching approximately 3.4–3.7 percentage points above the counterfactual by 2022–2023.</w:t>
      </w:r>
    </w:p>
    <w:p>
      <w:pPr>
        <w:pStyle w:val="Heading1"/>
      </w:pPr>
      <w:r>
        <w:t>Theme — Forest Recovery and Interventions</w:t>
      </w:r>
    </w:p>
    <w:p>
      <w:pPr>
        <w:pStyle w:val="Heading2"/>
      </w:pPr>
      <w:r>
        <w:t>P008 — Salemi (2025)</w:t>
      </w:r>
    </w:p>
    <w:p>
      <w:r>
        <w:t>The post-2019 attenuation in forest loss coincides with LPG cookstove rollout and camp fencing. The study provides suggestive evidence that one or both interventions reduced local extraction pressure, but it cannot separately identify their effects.</w:t>
      </w:r>
    </w:p>
    <w:p>
      <w:r>
        <w:t>The rapid statistical rebound should not automatically be interpreted as mature forest regeneration; it may partly represent slower subsequent forest loss relative to matched controls.</w:t>
      </w:r>
    </w:p>
    <w:p>
      <w:pPr>
        <w:pStyle w:val="Heading1"/>
      </w:pPr>
      <w:r>
        <w:t>Theme — Population and Economic Drivers</w:t>
      </w:r>
    </w:p>
    <w:p>
      <w:pPr>
        <w:pStyle w:val="Heading2"/>
      </w:pPr>
      <w:r>
        <w:t>P008 — Salemi (2025)</w:t>
      </w:r>
    </w:p>
    <w:p>
      <w:r>
        <w:t>Settlement expansion and a fourfold increase in nighttime-light radiance support an indirect general-equilibrium mechanism involving economic activity, host-community migration, businesses and humanitarian infrastructure around camp-hosting areas.</w:t>
      </w:r>
    </w:p>
    <w:p/>
    <w:p>
      <w:pPr>
        <w:pStyle w:val="Heading1"/>
      </w:pPr>
      <w:r>
        <w:t>Theme — Comparative Refugee Environmental Studies</w:t>
      </w:r>
    </w:p>
    <w:p>
      <w:pPr>
        <w:pStyle w:val="Heading2"/>
      </w:pPr>
      <w:r>
        <w:t>P009 — Langer et al. (2015)</w:t>
      </w:r>
    </w:p>
    <w:p>
      <w:r>
        <w:t>Langer et al. monitored the environmental lifecycle of the Lukole refugee camp in Tanzania using multi-sensor Landsat imagery from 1990 to 2015. The study covered conditions before camp establishment, the operating period, dismantling in 2008 and seven subsequent years of landscape recovery.</w:t>
      </w:r>
    </w:p>
    <w:p>
      <w:r>
        <w:t>A fully automated SIAM pre-classification and object-based greenness change analysis indicated that deforestation occurred mainly during the 1994–2008 camp period. Reforestation tendencies became visible around 2000, and comparatively little additional change after 2010 suggested that much of the detectable recovery had already occurred.</w:t>
      </w:r>
    </w:p>
    <w:p>
      <w:pPr>
        <w:pStyle w:val="Heading1"/>
      </w:pPr>
      <w:r>
        <w:t>Theme — Restoration and Recovery</w:t>
      </w:r>
    </w:p>
    <w:p>
      <w:pPr>
        <w:pStyle w:val="Heading2"/>
      </w:pPr>
      <w:r>
        <w:t>P009 — Langer et al. (2015)</w:t>
      </w:r>
    </w:p>
    <w:p>
      <w:r>
        <w:t>P009 demonstrates that refugee-related environmental assessment should not stop immediately after the principal disturbance. Camp closure, fuelwood interventions, restoration activities and natural regeneration can create a distinct recovery phase.</w:t>
      </w:r>
    </w:p>
    <w:p>
      <w:r>
        <w:t>For Cox’s Bazar, the post-2019 reduction in estimated forest loss must therefore be analysed as a separate trajectory rather than assuming uniform degradation throughout the entire post-2017 period.</w:t>
      </w:r>
    </w:p>
    <w:p>
      <w:pPr>
        <w:pStyle w:val="Heading3"/>
      </w:pPr>
      <w:r>
        <w:t>Critical evidence note</w:t>
      </w:r>
    </w:p>
    <w:p>
      <w:r>
        <w:t>The study is methodologically informative but provides preliminary qualitative findings without quantitative forest-area estimates, accuracy assessment or causal attribution. It should therefore be used to justify long-term lifecycle monitoring and recovery analysis, not as a direct numerical comparator for Cox’s Bazar.</w:t>
      </w:r>
    </w:p>
    <w:p/>
    <w:p>
      <w:pPr>
        <w:pStyle w:val="Heading1"/>
      </w:pPr>
      <w:r>
        <w:t>Theme — Forest and Land Degradation</w:t>
      </w:r>
    </w:p>
    <w:p>
      <w:pPr>
        <w:pStyle w:val="Heading2"/>
      </w:pPr>
      <w:r>
        <w:t>P010 — Hasan et al. (2021)</w:t>
      </w:r>
    </w:p>
    <w:p>
      <w:r>
        <w:t>Hasan et al. combined Sentinel-2A land-cover classification with CA–Markov modelling to assess observed and projected forest degradation in the Cox’s Bazar–Teknaf Peninsula.</w:t>
      </w:r>
    </w:p>
    <w:p>
      <w:r>
        <w:t>Between 2017 and 2019, approximately 3,130 ha of forest-cover categories were transformed into refugee camps or Rohingya-influenced degraded forest. Under a continuation scenario, the study projected approximately 3,080 ha of additional degradation by 2023 and about 5,115–5,120 ha by 2027.</w:t>
      </w:r>
    </w:p>
    <w:p>
      <w:pPr>
        <w:pStyle w:val="Heading1"/>
      </w:pPr>
      <w:r>
        <w:t>Theme — Biomass and Carbon</w:t>
      </w:r>
    </w:p>
    <w:p>
      <w:pPr>
        <w:pStyle w:val="Heading2"/>
      </w:pPr>
      <w:r>
        <w:t>P010 — Hasan et al. (2021)</w:t>
      </w:r>
    </w:p>
    <w:p>
      <w:r>
        <w:t>The study estimated above-ground biomass and carbon-stock decline associated with observed and projected forest degradation.</w:t>
      </w:r>
    </w:p>
    <w:p>
      <w:r>
        <w:t>P010 is therefore an important predecessor for linking forest-cover change with ecosystem-function loss. However, its biomass estimates were not embedded in a long annual panel, field-validated uncertainty framework or causal attribution design.</w:t>
      </w:r>
    </w:p>
    <w:p>
      <w:pPr>
        <w:pStyle w:val="Heading1"/>
      </w:pPr>
      <w:r>
        <w:t>Theme — Prediction</w:t>
      </w:r>
    </w:p>
    <w:p>
      <w:pPr>
        <w:pStyle w:val="Heading2"/>
      </w:pPr>
      <w:r>
        <w:t>P010 — Hasan et al. (2021)</w:t>
      </w:r>
    </w:p>
    <w:p>
      <w:r>
        <w:t>The CA–Markov model represents a business-as-usual transition scenario rather than a causal or policy-aware forecast.</w:t>
      </w:r>
    </w:p>
    <w:p>
      <w:r>
        <w:t>Its results are sensitive to continuation of 2017–2019 transition patterns and may not capture post-2019 restoration, LPG adoption, camp fencing, settlement reorganization or other structural changes.</w:t>
      </w:r>
    </w:p>
    <w:p>
      <w:pPr>
        <w:pStyle w:val="Heading1"/>
      </w:pPr>
      <w:r>
        <w:t>Theme — Forest and Land-Cover Change</w:t>
      </w:r>
    </w:p>
    <w:p>
      <w:pPr>
        <w:pStyle w:val="Heading2"/>
      </w:pPr>
      <w:r>
        <w:t>P011 — Sarkar et al. (2023)</w:t>
      </w:r>
    </w:p>
    <w:p>
      <w:r>
        <w:t>Using Sentinel imagery and three supervised classifiers, Sarkar et al. estimated that forest cover in Ukhiya and Teknaf decreased by 5,488.01 ha between 2017 and 2021, while settlement increased by 4,725.45 ha. ANN produced the strongest reported classification results, with overall accuracy of 97% and 91% for the two dates.</w:t>
      </w:r>
    </w:p>
    <w:p>
      <w:pPr>
        <w:pStyle w:val="Heading1"/>
      </w:pPr>
      <w:r>
        <w:t>Theme — Ecosystem Services and Ecological Quality</w:t>
      </w:r>
    </w:p>
    <w:p>
      <w:pPr>
        <w:pStyle w:val="Heading2"/>
      </w:pPr>
      <w:r>
        <w:t>P011 — Sarkar et al. (2023)</w:t>
      </w:r>
    </w:p>
    <w:p>
      <w:r>
        <w:t>The estimated forest ecosystem-service value declined from US$24.26 million to US$18.93 million, representing a loss of US$5.33 million or 21.97%.</w:t>
      </w:r>
    </w:p>
    <w:p>
      <w:r>
        <w:t>A fuzzy ecological-quality model combining ecosystem functions, population, LST and a land-use carbon indicator showed substantial movement from favourable EQ classes toward bad and very-bad conditions.</w:t>
      </w:r>
    </w:p>
    <w:p>
      <w:pPr>
        <w:pStyle w:val="Heading2"/>
      </w:pPr>
      <w:r>
        <w:t>Critical evidence note</w:t>
      </w:r>
    </w:p>
    <w:p>
      <w:r>
        <w:t>P011 is useful as an integrated ecological-assessment precedent, but its claims should be interpreted as descriptive associations.</w:t>
      </w:r>
    </w:p>
    <w:p>
      <w:r>
        <w:t>The 25 August 2017 baseline is not clearly pre-treatment, the two images differ seasonally, and no counterfactual control design was used. Its ESV and fuzzy-EQ results are supplementary indicators, not causal estimates of refugee-attributable ecological damage.</w:t>
      </w:r>
    </w:p>
    <w:p>
      <w:pPr>
        <w:pStyle w:val="Heading1"/>
      </w:pPr>
      <w:r>
        <w:t>Theme — Ecosystem Services</w:t>
      </w:r>
    </w:p>
    <w:p>
      <w:pPr>
        <w:pStyle w:val="Heading2"/>
      </w:pPr>
      <w:r>
        <w:t>P012 — Sarkar et al. (2023a)</w:t>
      </w:r>
    </w:p>
    <w:p>
      <w:r>
        <w:t>Sarkar et al. used ANN-based LULC classification and a benefit-transfer approach to estimate ecosystem-service changes in Ukhiya and Teknaf between 2017 and 2021.</w:t>
      </w:r>
    </w:p>
    <w:p>
      <w:r>
        <w:t>The study reported 54.88 km² of forest loss and 47.26 km² of settlement growth. Total estimated ESV increased from US$310.13 million to US$332.94 million, while raw-material and biodiversity values declined by 13.58% and 14.57%, respectively.</w:t>
      </w:r>
    </w:p>
    <w:p>
      <w:pPr>
        <w:pStyle w:val="Heading2"/>
      </w:pPr>
      <w:r>
        <w:t>Critical evidence note</w:t>
      </w:r>
    </w:p>
    <w:p>
      <w:r>
        <w:t>The increase in aggregate ESV should not be interpreted as an overall ecological improvement. The result is coefficient- and aggregation-dependent and coexists with substantial forest, raw-material and biodiversity-service losses.</w:t>
      </w:r>
    </w:p>
    <w:p>
      <w:r>
        <w:t>P012 and the later P011 use closely related LULC evidence but report materially different ESV totals and subcomponent changes. They must therefore be treated as overlapping, non-independent publications rather than two independent empirical observations.</w:t>
      </w:r>
    </w:p>
    <w:p>
      <w:pPr>
        <w:pStyle w:val="Heading1"/>
      </w:pPr>
      <w:r>
        <w:t>Theme — Long-Term LULC and Thermal Change</w:t>
      </w:r>
    </w:p>
    <w:p>
      <w:pPr>
        <w:pStyle w:val="Heading2"/>
      </w:pPr>
      <w:r>
        <w:t>P013 — Ahmed et al. (2024)</w:t>
      </w:r>
    </w:p>
    <w:p>
      <w:r>
        <w:t>Ahmed et al. analysed Landsat-derived land cover and land surface temperature at approximately five-year intervals from 1997 to 2022.</w:t>
      </w:r>
    </w:p>
    <w:p>
      <w:r>
        <w:t>Within the 24 km² camp-focused landscape, settlement increased from 5.28% in 1997 and 11.91% in 2017 to 70.09% in 2022, while the broad vegetation class declined from 70.26% to 52.88% and then to 9.73%.</w:t>
      </w:r>
    </w:p>
    <w:p>
      <w:r>
        <w:t>Mean January LST increased from 18.86°C in 1997 to 21.31°C in 2017 and 25.94°C in 2022.</w:t>
      </w:r>
    </w:p>
    <w:p>
      <w:pPr>
        <w:pStyle w:val="Heading1"/>
      </w:pPr>
      <w:r>
        <w:t>Theme — Machine Learning and Prediction</w:t>
      </w:r>
    </w:p>
    <w:p>
      <w:pPr>
        <w:pStyle w:val="Heading2"/>
      </w:pPr>
      <w:r>
        <w:t>P013 — Ahmed et al. (2024)</w:t>
      </w:r>
    </w:p>
    <w:p>
      <w:r>
        <w:t>The study used CA–ANN through the QGIS MOLUSCE plugin to simulate 2022 from 2018 and 2020 inputs and to project LULC and LST for 2028 and 2034.</w:t>
      </w:r>
    </w:p>
    <w:p>
      <w:r>
        <w:t>The 2022 LULC validation reported approximately 92% overall accuracy and Kappa 0.89. The wider Ukhiya–Teknaf scenario projected settlement growth to 11.63% and vegetation decline to 54.42% by 2034.</w:t>
      </w:r>
    </w:p>
    <w:p>
      <w:pPr>
        <w:pStyle w:val="Heading2"/>
      </w:pPr>
      <w:r>
        <w:t>Critical evidence note</w:t>
      </w:r>
    </w:p>
    <w:p>
      <w:r>
        <w:t>P013 should be used as descriptive and predictive evidence, not causal evidence.</w:t>
      </w:r>
    </w:p>
    <w:p>
      <w:r>
        <w:t>Historical camp-area results and upazila-wide prediction results use different spatial domains. The vegetation class also combines forest, agriculture and grassland, limiting direct comparison with forest-specific studies.</w:t>
      </w:r>
    </w:p>
    <w:p>
      <w:pPr>
        <w:pStyle w:val="Heading1"/>
      </w:pPr>
      <w:r>
        <w:t>Theme — Comparative Refugee Environmental Studies</w:t>
      </w:r>
    </w:p>
    <w:p>
      <w:pPr>
        <w:pStyle w:val="Heading2"/>
      </w:pPr>
      <w:r>
        <w:t>P014 — Gromny et al. (2024)</w:t>
      </w:r>
    </w:p>
    <w:p>
      <w:r>
        <w:t>Gromny et al. produced annual 10 m land-cover maps for the complete operational lifecycle of Mtendeli refugee camp from 2016 to 2021 and the first post-closure year, 2022.</w:t>
      </w:r>
    </w:p>
    <w:p>
      <w:r>
        <w:t>The study combined Sentinel-1, Sentinel-2, Random Forest classification, distance buffers, field observations and semi-structured expert interviews. Land-cover transformation was greatest within the camp and its nearest surroundings and generally declined with increasing distance.</w:t>
      </w:r>
    </w:p>
    <w:p>
      <w:pPr>
        <w:pStyle w:val="Heading1"/>
      </w:pPr>
      <w:r>
        <w:t>Theme — Socioeconomic Drivers</w:t>
      </w:r>
    </w:p>
    <w:p>
      <w:pPr>
        <w:pStyle w:val="Heading2"/>
      </w:pPr>
      <w:r>
        <w:t>P014 — Gromny et al. (2024)</w:t>
      </w:r>
    </w:p>
    <w:p>
      <w:r>
        <w:t>The study associated early tree-cover loss with camp clearing and fuelwood demand, while subsequent vegetation decline was also linked to cropland expansion, cassava production, shifting cultivation, host-community demand, labour changes and bushfire.</w:t>
      </w:r>
    </w:p>
    <w:p>
      <w:r>
        <w:t>These results show that environmental change around refugee camps may arise from interacting refugee, host-community, market and institutional processes rather than a single driver.</w:t>
      </w:r>
    </w:p>
    <w:p>
      <w:pPr>
        <w:pStyle w:val="Heading1"/>
      </w:pPr>
      <w:r>
        <w:t>Theme — Restoration and Recovery</w:t>
      </w:r>
    </w:p>
    <w:p>
      <w:pPr>
        <w:pStyle w:val="Heading2"/>
      </w:pPr>
      <w:r>
        <w:t>P014 — Gromny et al. (2024)</w:t>
      </w:r>
    </w:p>
    <w:p>
      <w:r>
        <w:t>After Mtendeli closed in 2021, cropland and artificial surfaces declined within the camp and substantial areas transitioned to grassland, shrub and managed woody vegetation.</w:t>
      </w:r>
    </w:p>
    <w:p>
      <w:r>
        <w:t>This provides comparative evidence that camp closure and restoration can create a measurable recovery phase, although early vegetation return should not automatically be interpreted as recovery of mature forest structure or carbon stock.</w:t>
      </w:r>
    </w:p>
    <w:p>
      <w:pPr>
        <w:pStyle w:val="Heading2"/>
      </w:pPr>
      <w:r>
        <w:t>Critical evidence note</w:t>
      </w:r>
    </w:p>
    <w:p>
      <w:r>
        <w:t>P014 provides strong annual descriptive and mixed-method evidence, but it is not a causal study.</w:t>
      </w:r>
    </w:p>
    <w:p>
      <w:r>
        <w:t>Distance decay, temporal coincidence and expert interpretation support plausible mechanisms but do not estimate what would have occurred without the camp.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