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P006 — Full-Text Extraction</w:t>
      </w:r>
    </w:p>
    <w:p>
      <w:r>
        <w:t>Mitra, J. R.; Ahmed, T. T.; Czajkowski, K. (2025). Landscape fragmentation and population distribution in refugee camps: evidence from the Rohingya refugee influx in Bangladesh. Population and Environment, 47, 18. https://doi.org/10.1007/s11111-025-00489-4</w:t>
      </w:r>
    </w:p>
    <w:p>
      <w:pPr>
        <w:pStyle w:val="Heading1"/>
      </w:pPr>
      <w:r>
        <w:t>1. Verified Citation</w:t>
      </w:r>
    </w:p>
    <w:p>
      <w:r>
        <w:t>Mitra, J. R., Ahmed, T. T., &amp; Czajkowski, K. (2025). Landscape fragmentation and population distribution in refugee camps: evidence from the Rohingya refugee influx in Bangladesh. Population and Environment, Volume 47, Article 18. Published 27 March 2025. https://doi.org/10.1007/s11111-025-00489-4</w:t>
      </w:r>
    </w:p>
    <w:p>
      <w:pPr>
        <w:pStyle w:val="Heading1"/>
      </w:pPr>
      <w:r>
        <w:t>2. Publication Status</w:t>
      </w:r>
    </w:p>
    <w:p>
      <w:r>
        <w:t>Original Research Article in Population and Environment (Springer Nature). Peer reviewed: Yes. Open Access — Creative Commons Attribution 4.0 International License (CC BY 4.0). Official Springer PDF downloaded (29-page article).</w:t>
      </w:r>
    </w:p>
    <w:p>
      <w:pPr>
        <w:pStyle w:val="Heading1"/>
      </w:pPr>
      <w:r>
        <w:t>3. Research Objectives</w:t>
      </w:r>
    </w:p>
    <w:p>
      <w:r>
        <w:t>(1) Determine LULC changes and land fragmentation in refugee camps between 2016 and 2024.</w:t>
      </w:r>
    </w:p>
    <w:p>
      <w:r>
        <w:t>(2) Observe forest degradation following the 2017 influx (NDVI).</w:t>
      </w:r>
    </w:p>
    <w:p>
      <w:r>
        <w:t>(3) Assess the relationship between population influx and forest loss within camps.</w:t>
      </w:r>
    </w:p>
    <w:p>
      <w:r>
        <w:t>Broader goal: comprehensive understanding of post-2017 Rohingya migration and land transformation via combined LULC classification, NDVI, fragmentation and population distribution analyses.</w:t>
      </w:r>
    </w:p>
    <w:p>
      <w:pPr>
        <w:pStyle w:val="Heading1"/>
      </w:pPr>
      <w:r>
        <w:t>4. Study Area</w:t>
      </w:r>
    </w:p>
    <w:p>
      <w:r>
        <w:t>Approximately 2,500 ha covering 34 Rohingya refugee camps in Ukhia and Teknaf sub-districts, Cox's Bazar District, Bangladesh (Teknaf peninsula; Bangladesh–Myanmar border). Excludes Bhasan Char (Noakhali). Camps span ~20°55′N–21°14′N and 92°7′E–92°17′E.</w:t>
      </w:r>
    </w:p>
    <w:p>
      <w:pPr>
        <w:pStyle w:val="Heading1"/>
      </w:pPr>
      <w:r>
        <w:t>5. Camp Coverage</w:t>
      </w:r>
    </w:p>
    <w:p>
      <w:r>
        <w:t>34 Cox's Bazar camps included; Bhasan Char excluded. Camp 23 closed in 2021 but remains in study area. Major clusters: Kutupalong–Balukhali (26 camps in Ukhia, incl. Camps 14, 15, 16); scattered camps (Camps 21, 22, 23); Nayapara cluster (5 camps in Teknaf). As of April 2024, 944,154 registered refugees in Cox's Bazar camps (UNHCR &amp; GoB 2024b).</w:t>
      </w:r>
    </w:p>
    <w:p>
      <w:pPr>
        <w:pStyle w:val="Heading1"/>
      </w:pPr>
      <w:r>
        <w:t>6. Study Period and Image Dates</w:t>
      </w:r>
    </w:p>
    <w:p>
      <w:r>
        <w:t>Pre-influx image: 30 November 2016.</w:t>
      </w:r>
    </w:p>
    <w:p>
      <w:r>
        <w:t>Post-influx image: 3 January 2024.</w:t>
      </w:r>
    </w:p>
    <w:p>
      <w:r>
        <w:t>Comparison period: 2016–2024 (two-date pre/post design centred on 2017 influx). Winter/low-cloud dry-season imagery selected; rainy season avoided for NDVI consistency (Hassan et al. 2018 approach).</w:t>
      </w:r>
    </w:p>
    <w:p>
      <w:pPr>
        <w:pStyle w:val="Heading1"/>
      </w:pPr>
      <w:r>
        <w:t>7. Satellite Dataset</w:t>
      </w:r>
    </w:p>
    <w:p>
      <w:r>
        <w:t>Sentinel-2A Level-2 products (radiometrically and geometrically corrected; cloud masks; 13 bands at 10, 20 and 60 m). Classification performed in Google Earth Engine (GEE).</w:t>
      </w:r>
    </w:p>
    <w:p>
      <w:pPr>
        <w:pStyle w:val="Heading1"/>
      </w:pPr>
      <w:r>
        <w:t>8. Ancillary Data</w:t>
      </w:r>
    </w:p>
    <w:p>
      <w:r>
        <w:t>Humanitarian Response Rohingya refugee camp-boundary shapefile (WGS 1984 UTM Zone 46N).</w:t>
      </w:r>
    </w:p>
    <w:p>
      <w:r>
        <w:t>UNHCR 2024 block-level camp population data (UNHCR &amp; GoB 2024b) for settlement-area population mapping.</w:t>
      </w:r>
    </w:p>
    <w:p>
      <w:r>
        <w:t>High-resolution Google Earth Engine reference imagery for manual sample interpretation.</w:t>
      </w:r>
    </w:p>
    <w:p>
      <w:pPr>
        <w:pStyle w:val="Heading1"/>
      </w:pPr>
      <w:r>
        <w:t>9. Image Bands and Resolution</w:t>
      </w:r>
    </w:p>
    <w:p>
      <w:r>
        <w:t>Classification/NDVI bands used: B2 Blue (490 nm), B3 Green (560 nm), B4 Red (665 nm), B8 NIR (842 nm) — all 10 m resolution.</w:t>
      </w:r>
    </w:p>
    <w:p>
      <w:r>
        <w:t>Projection: WGS 1984 UTM Zone 46N.</w:t>
      </w:r>
    </w:p>
    <w:p>
      <w:r>
        <w:t>Season: winter dry-season imagery.</w:t>
      </w:r>
    </w:p>
    <w:p>
      <w:pPr>
        <w:pStyle w:val="Heading1"/>
      </w:pPr>
      <w:r>
        <w:t>10. Training and Validation Samples</w:t>
      </w:r>
    </w:p>
    <w:p>
      <w:r>
        <w:t>Approximately 2,000 reference samples per image (~80% training, ~20% validation) from manual interpretation in GEE.</w:t>
      </w:r>
    </w:p>
    <w:p>
      <w:r>
        <w:t>2016: Training = 1,575; Validation = 425.</w:t>
      </w:r>
    </w:p>
    <w:p>
      <w:r>
        <w:t>2024: Training = 1,607; Validation = 393.</w:t>
      </w:r>
    </w:p>
    <w:p>
      <w:r>
        <w:t>Class-specific counts reported in Table 1.</w:t>
      </w:r>
    </w:p>
    <w:p>
      <w:pPr>
        <w:pStyle w:val="Heading1"/>
      </w:pPr>
      <w:r>
        <w:t>11. Random Forest Model</w:t>
      </w:r>
    </w:p>
    <w:p>
      <w:r>
        <w:t>Classifier: Random Forest (Breiman 2001) in GEE.</w:t>
      </w:r>
    </w:p>
    <w:p>
      <w:r>
        <w:t>Number of trees (ntree): 200.</w:t>
      </w:r>
    </w:p>
    <w:p>
      <w:r>
        <w:t>Features per split (mtry): default square root of total number of features.</w:t>
      </w:r>
    </w:p>
    <w:p>
      <w:r>
        <w:t>Platform: Google Earth Engine.</w:t>
      </w:r>
    </w:p>
    <w:p>
      <w:pPr>
        <w:pStyle w:val="Heading1"/>
      </w:pPr>
      <w:r>
        <w:t>12. Classification Accuracy</w:t>
      </w:r>
    </w:p>
    <w:p>
      <w:r>
        <w:t>2016: Overall Accuracy 97.6%; Kappa 0.97.</w:t>
      </w:r>
    </w:p>
    <w:p>
      <w:r>
        <w:t>2024: Overall Accuracy 96.9%; Kappa 0.96.</w:t>
      </w:r>
    </w:p>
    <w:p>
      <w:r>
        <w:t>2024 class-level user's accuracy: 92.5%–100%; producer's accuracy: ~95.8%–99%.</w:t>
      </w:r>
    </w:p>
    <w:p>
      <w:r>
        <w:t>2016 example validation pixels: water 104, forest 95, agriculture/open field 122, settlement 104 (Table 3). Metrics computed in GEE from validation dataset.</w:t>
      </w:r>
    </w:p>
    <w:p>
      <w:pPr>
        <w:pStyle w:val="Heading1"/>
      </w:pPr>
      <w:r>
        <w:t>13. LULC Classes</w:t>
      </w:r>
    </w:p>
    <w:p>
      <w:r>
        <w:t>1. Forest — natural/homestead forests, hill forests, orchards, rubber, bamboo, mangrove plantations.</w:t>
      </w:r>
    </w:p>
    <w:p>
      <w:r>
        <w:t>2. Water — rivers, ponds, lakes, freshwater aquaculture.</w:t>
      </w:r>
    </w:p>
    <w:p>
      <w:r>
        <w:t>3. Agriculture/Open Field — cropland, bare land, sand, riverbanks.</w:t>
      </w:r>
    </w:p>
    <w:p>
      <w:r>
        <w:t>4. Settlement — built-up households, roads, infrastructure.</w:t>
      </w:r>
    </w:p>
    <w:p>
      <w:pPr>
        <w:pStyle w:val="Heading1"/>
      </w:pPr>
      <w:r>
        <w:t>14. Change-Detection Method</w:t>
      </w:r>
    </w:p>
    <w:p>
      <w:r>
        <w:t>Post-classification categorical change detection in ArcGIS Pro Change Detection Wizard (Categorical Change option). Identified pixels in water, forest and agriculture/open field in 2016 converted to settlement by 2024.</w:t>
      </w:r>
    </w:p>
    <w:p>
      <w:pPr>
        <w:pStyle w:val="Heading1"/>
      </w:pPr>
      <w:r>
        <w:t>15. Fragmentation Software</w:t>
      </w:r>
    </w:p>
    <w:p>
      <w:r>
        <w:t>FRAGSTATS version 4.2.</w:t>
      </w:r>
    </w:p>
    <w:p>
      <w:r>
        <w:t>Input: classified GeoTIFF images for 2016 and 2024.</w:t>
      </w:r>
    </w:p>
    <w:p>
      <w:r>
        <w:t>Neighbour rule: Queen's contiguity (8-neighbour; edges and corners).</w:t>
      </w:r>
    </w:p>
    <w:p>
      <w:pPr>
        <w:pStyle w:val="Heading1"/>
      </w:pPr>
      <w:r>
        <w:t>16. Fragmentation Metrics</w:t>
      </w:r>
    </w:p>
    <w:p>
      <w:r>
        <w:t>Seven class-level metrics: CA, PLAND, NP, PD, COHESION, DIVISION, AI.</w:t>
      </w:r>
    </w:p>
    <w:p>
      <w:r>
        <w:t>Two landscape-level metrics: NP, PD.</w:t>
      </w:r>
    </w:p>
    <w:p>
      <w:r>
        <w:t>Authors note metrics are scale-dependent and affected by 10 m raster resolution.</w:t>
      </w:r>
    </w:p>
    <w:p>
      <w:pPr>
        <w:pStyle w:val="Heading1"/>
      </w:pPr>
      <w:r>
        <w:t>17. NDVI Analysis</w:t>
      </w:r>
    </w:p>
    <w:p>
      <w:r>
        <w:t>NDVI = (NIR − Red) / (NIR + Red) using Sentinel-2 Band 8 (NIR) and Band 4 (Red).</w:t>
      </w:r>
    </w:p>
    <w:p>
      <w:r>
        <w:t>Computed for 2016 and 2024; change map 2024 minus 2016.</w:t>
      </w:r>
    </w:p>
    <w:p>
      <w:r>
        <w:t>High NDVI (&gt;0.6) = dense healthy vegetation; decline around Kutupalong–Balukhali; small healthy patches remain northwest/east; Camp 23 and Nayapara retained more vegetation.</w:t>
      </w:r>
    </w:p>
    <w:p>
      <w:pPr>
        <w:pStyle w:val="Heading1"/>
      </w:pPr>
      <w:r>
        <w:t>18. Camp-Specific Population Analysis</w:t>
      </w:r>
    </w:p>
    <w:p>
      <w:r>
        <w:t>2024 UNHCR block-level population mapped within settlement class per camp.</w:t>
      </w:r>
    </w:p>
    <w:p>
      <w:r>
        <w:t>Population density estimated per hectare of settlement (not total camp area).</w:t>
      </w:r>
    </w:p>
    <w:p>
      <w:r>
        <w:t>Historical pre-2017 camp population unavailable except registered camps — therefore percentage settlement change used as proxy for percentage population change in correlation analysis.</w:t>
      </w:r>
    </w:p>
    <w:p>
      <w:pPr>
        <w:pStyle w:val="Heading1"/>
      </w:pPr>
      <w:r>
        <w:t>19. Correlation Analysis</w:t>
      </w:r>
    </w:p>
    <w:p>
      <w:r>
        <w:t>Bivariate correlation between camp-specific percentage forest change and percentage settlement change.</w:t>
      </w:r>
    </w:p>
    <w:p>
      <w:r>
        <w:t>Pearson r = −0.73; statistically significant at p &lt; 0.05.</w:t>
      </w:r>
    </w:p>
    <w:p>
      <w:r>
        <w:t>Strong negative association — NOT causal attribution (authors explicit).</w:t>
      </w:r>
    </w:p>
    <w:p>
      <w:pPr>
        <w:pStyle w:val="Heading1"/>
      </w:pPr>
      <w:r>
        <w:t>20. Main Findings</w:t>
      </w:r>
    </w:p>
    <w:p>
      <w:r>
        <w:t>Forest declined 54.6% (1,688.8 → 767.3 ha); settlement expanded 598.5% (144.8 → 1,011.5 ha) within ~2,500 ha camp landscape 2016–2024. Forest fragmentation increased sharply (patches, PD, DIVISION, lower AI/COHESION); landscape-level NP and PD also rose. NDVI confirms vegetation loss especially Kutupalong–Balukhali. Camp 15 had highest population (~57,922), settlement gain (+67.1 ha) and forest loss (~62.8–62.9 ha). Restoration/closure signals at Kutupalong RC, Nayapara RC, Camps 23–25.</w:t>
      </w:r>
    </w:p>
    <w:p>
      <w:pPr>
        <w:pStyle w:val="Heading1"/>
      </w:pPr>
      <w:r>
        <w:t>21. Forest-Loss Results</w:t>
      </w:r>
    </w:p>
    <w:p>
      <w:r>
        <w:t>Forest area: 2016 = 1,688.8 ha (67.7% PLAND); 2024 = 767.3 ha (30.7% PLAND).</w:t>
      </w:r>
    </w:p>
    <w:p>
      <w:r>
        <w:t>Change: −921.5 ha (−54.6%).</w:t>
      </w:r>
    </w:p>
    <w:p>
      <w:r>
        <w:t>Forest converted to settlement: 695.2 ha.</w:t>
      </w:r>
    </w:p>
    <w:p>
      <w:r>
        <w:t>Camp-level: Camps 4, 8W, 15, 17, 18 each lost &gt;50 ha forest; Camps 6, 9, 10, 11, 15 &gt;87% forest decline.</w:t>
      </w:r>
    </w:p>
    <w:p>
      <w:pPr>
        <w:pStyle w:val="Heading1"/>
      </w:pPr>
      <w:r>
        <w:t>22. Settlement-Expansion Results</w:t>
      </w:r>
    </w:p>
    <w:p>
      <w:r>
        <w:t>Settlement: 2016 = 144.8 ha (5.8%); 2024 = 1,011.5 ha (40.5%).</w:t>
      </w:r>
    </w:p>
    <w:p>
      <w:r>
        <w:t>Change: +866.7 ha (+598.5%).</w:t>
      </w:r>
    </w:p>
    <w:p>
      <w:r>
        <w:t>Total converted to settlement: 919.7 ha (forest 695.2 + agriculture/open field 205.1 + water 19.4).</w:t>
      </w:r>
    </w:p>
    <w:p>
      <w:r>
        <w:t>Settlement became more aggregated (AI 51.5 → 79.2; COHESION 85.7 → 99.1).</w:t>
      </w:r>
    </w:p>
    <w:p>
      <w:pPr>
        <w:pStyle w:val="Heading1"/>
      </w:pPr>
      <w:r>
        <w:t>23. Fragmentation Results</w:t>
      </w:r>
    </w:p>
    <w:p>
      <w:r>
        <w:t>Forest class NP: 663 → 2,468; PD: 26.6 → 98.9.</w:t>
      </w:r>
    </w:p>
    <w:p>
      <w:r>
        <w:t>Forest COHESION: 99.6 → 96.4; AI: 91.9 → 75.2; DIVISION: 0.7996 → 0.9968.</w:t>
      </w:r>
    </w:p>
    <w:p>
      <w:r>
        <w:t>Landscape NP: 7,724 → 12,917; landscape PD: 309.4 → 517.5.</w:t>
      </w:r>
    </w:p>
    <w:p>
      <w:r>
        <w:t>Agriculture/open field also fragmented (NP 2,326 → 6,500).</w:t>
      </w:r>
    </w:p>
    <w:p>
      <w:pPr>
        <w:pStyle w:val="Heading1"/>
      </w:pPr>
      <w:r>
        <w:t>24. Camp-Level Results</w:t>
      </w:r>
    </w:p>
    <w:p>
      <w:r>
        <w:t>Camp 15: ~57,922 people; +67.1 ha settlement; forest decrease ~62.9 ha (Results) / 62.8 ha (Abstract &amp; Discussion).</w:t>
      </w:r>
    </w:p>
    <w:p>
      <w:r>
        <w:t>Camps 7, 8W, 9, 18: settlement increase &gt;40 ha each.</w:t>
      </w:r>
    </w:p>
    <w:p>
      <w:r>
        <w:t>Camp 1E: most overcrowded (~2,324 people/ha settlement).</w:t>
      </w:r>
    </w:p>
    <w:p>
      <w:r>
        <w:t>Only Kutupalong RC, Nayapara RC, Camps 23, 24, 25 showed forest increase.</w:t>
      </w:r>
    </w:p>
    <w:p>
      <w:pPr>
        <w:pStyle w:val="Heading1"/>
      </w:pPr>
      <w:r>
        <w:t>25. Restoration Signals</w:t>
      </w:r>
    </w:p>
    <w:p>
      <w:r>
        <w:t>Forest increase: Kutupalong Registered Camp, Nayapara Registered Camp, Camps 23, 24, 25.</w:t>
      </w:r>
    </w:p>
    <w:p>
      <w:r>
        <w:t>Camp 23 (closed 2021): settlement −17.3 ha; forest +36.3 ha — interpreted as closure/reforestation.</w:t>
      </w:r>
    </w:p>
    <w:p>
      <w:r>
        <w:t>Registered camps had smallest settlement increases and modest forest gains (&lt;5 ha).</w:t>
      </w:r>
    </w:p>
    <w:p>
      <w:pPr>
        <w:pStyle w:val="Heading1"/>
      </w:pPr>
      <w:r>
        <w:t>26. Author Interpretation</w:t>
      </w:r>
    </w:p>
    <w:p>
      <w:r>
        <w:t>Post-2017 refugee settlement expansion drove forest loss and fragmentation inside official camp boundaries; settlement growth spread from pre-existing camps into inward forest lands. Correlation links settlement and forest change but does not prove causality. Some restoration and camp-closure effects visible but long-term degradation risk persists (Hassan et al. 2023 context). Protected forests (Inani NP, Teknaf WS) show NDVI degradation at camp edges.</w:t>
      </w:r>
    </w:p>
    <w:p>
      <w:pPr>
        <w:pStyle w:val="Heading1"/>
      </w:pPr>
      <w:r>
        <w:t>27. Policy Implications</w:t>
      </w:r>
    </w:p>
    <w:p>
      <w:r>
        <w:t>Findings intended to aid government, NGOs and UN agencies in prioritising restoration, relocation planning and forest protection; preserve remaining dense-forest patches; monitor protected-forest edges; track host-community degradation; address statelessness for long-term planning.</w:t>
      </w:r>
    </w:p>
    <w:p>
      <w:pPr>
        <w:pStyle w:val="Heading1"/>
      </w:pPr>
      <w:r>
        <w:t>28. Author-Stated Limitations</w:t>
      </w:r>
    </w:p>
    <w:p>
      <w:r>
        <w:t>Limited to Cox's Bazar camps (excludes Bhasan Char); Bhasan Char relocation and Camp 23 closure may affect dynamics; no historical population for pre-2017 camps except registered sites; local residents near camps not separated in settlement population analysis; no camp-specific fragmentation metrics; only two image dates; weather/seasonality not considered in NDVI; future work suggested with more images, NDVI time series, BFAST, fragmentation inside/outside camps.</w:t>
      </w:r>
    </w:p>
    <w:p>
      <w:pPr>
        <w:pStyle w:val="Heading1"/>
      </w:pPr>
      <w:r>
        <w:t>29. Limitations Identified by Us</w:t>
      </w:r>
    </w:p>
    <w:p>
      <w:r>
        <w:t>Only two image dates were analysed, so annual trajectories, intermediate disturbances and restoration timing were not observed. The study area was restricted mainly to official camp boundaries, rather than the wider camp-influenced forest landscape. The correlation analysis cannot establish causal attribution. Settlement change was used as a proxy for population change because historic camp-level population data were unavailable. Fragmentation metrics are scale-sensitive and depend on the 10 m classification resolution. The Random Forest validation used samples generated through manual interpretation and high-resolution imagery, but no independent field validation was reported. The study did not quantify biomass, carbon loss, CO2-equivalent emissions, uncertainty propagation or spatial spillover beyond camps. No spatial-block validation, SDID, event study, SHAP analysis or counterfactual control landscape was included. Authors also note local residents near some camps were not separated in settlement population analysis; camp-specific fragmentation was not analysed; Bhasan Char relocation and Camp 23 closure may influence dynamics; NDVI did not account for weather/seasonality.</w:t>
      </w:r>
    </w:p>
    <w:p>
      <w:pPr>
        <w:pStyle w:val="Heading1"/>
      </w:pPr>
      <w:r>
        <w:t>30. Relevance to Our Research</w:t>
      </w:r>
    </w:p>
    <w:p>
      <w:r>
        <w:t>Very High — direct recent camp-level fragmentation and forest-loss comparator for Cox's Bazar. Provides FRAGSTATS metric benchmarks, Sentinel-2 RF workflow, camp-population linkage and two-date change magnitudes. Does not replace annual panel, causal SDID, carbon accounting, SHAP drivers or wider treatment/control landscapes beyond camp boundaries.</w:t>
      </w:r>
    </w:p>
    <w:p>
      <w:pPr>
        <w:pStyle w:val="Heading1"/>
      </w:pPr>
      <w:r>
        <w:t>31. Research Gap</w:t>
      </w:r>
    </w:p>
    <w:p>
      <w:r>
        <w:t>P006 provides a detailed and recent camp-level assessment of LULC, fragmentation, NDVI and population distribution, but it remains a two-date descriptive comparison. The proposed research will extend this evidence through an annual 2001–2025 forest-loss and fragmentation panel, treatment and control landscapes beyond official camp boundaries, spatially robust validation, time-varying camp exposure, SDID causal attribution, above-ground carbon-loss estimation, SHAP-based driver interpretation and conservation-priority mapping.</w:t>
      </w:r>
    </w:p>
    <w:p>
      <w:pPr>
        <w:pStyle w:val="Heading1"/>
      </w:pPr>
      <w:r>
        <w:t>32. How This Paper Will Be Used</w:t>
      </w:r>
    </w:p>
    <w:p>
      <w:r>
        <w:t>- Benchmark 2016–2024 camp-interior forest loss and fragmentation metrics</w:t>
      </w:r>
    </w:p>
    <w:p>
      <w:r>
        <w:t>- Compare FRAGSTATS class/landscape indices with proposed annual fragmentation panel</w:t>
      </w:r>
    </w:p>
    <w:p>
      <w:r>
        <w:t>- Context for camp-population vs settlement-proxy correlation (not causal)</w:t>
      </w:r>
    </w:p>
    <w:p>
      <w:r>
        <w:t>- Identify restoration/closure sites (Camps 23–25, registered camps)</w:t>
      </w:r>
    </w:p>
    <w:p>
      <w:r>
        <w:t>- Explicitly NOT used for carbon-loss quantification or causal attribution</w:t>
      </w:r>
    </w:p>
    <w:p>
      <w:pPr>
        <w:pStyle w:val="Heading1"/>
      </w:pPr>
      <w:r>
        <w:t>33. Important Tables and Figures</w:t>
      </w:r>
    </w:p>
    <w:p>
      <w:r>
        <w:t>Fig. 1 — Camp map (Kutupalong–Balukhali, scattered, Nayapara)</w:t>
      </w:r>
    </w:p>
    <w:p>
      <w:r>
        <w:t>Fig. 2 — Methodology flowchart</w:t>
      </w:r>
    </w:p>
    <w:p>
      <w:r>
        <w:t>Figs. 3–4 — Classified LULC 2016 and 2024</w:t>
      </w:r>
    </w:p>
    <w:p>
      <w:r>
        <w:t>Fig. 5 — Landscape NP and PD change</w:t>
      </w:r>
    </w:p>
    <w:p>
      <w:r>
        <w:t>Fig. 6 — Change detection to settlement</w:t>
      </w:r>
    </w:p>
    <w:p>
      <w:r>
        <w:t>Figs. 7–8 — NDVI 2016/2024 and change</w:t>
      </w:r>
    </w:p>
    <w:p>
      <w:r>
        <w:t>Figs. 9–10 — 2024 population and % forest/settlement change by camp</w:t>
      </w:r>
    </w:p>
    <w:p>
      <w:r>
        <w:t>Table 1 — Training/validation samples</w:t>
      </w:r>
    </w:p>
    <w:p>
      <w:r>
        <w:t>Table 2 — Fragmentation metric definitions</w:t>
      </w:r>
    </w:p>
    <w:p>
      <w:r>
        <w:t>Table 3 — Classification accuracy</w:t>
      </w:r>
    </w:p>
    <w:p>
      <w:r>
        <w:t>Table 4 — Class metrics 2016 vs 2024</w:t>
      </w:r>
    </w:p>
    <w:p>
      <w:r>
        <w:t>Table 5 — Camp population and forest loss</w:t>
      </w:r>
    </w:p>
    <w:p>
      <w:pPr>
        <w:pStyle w:val="Heading1"/>
      </w:pPr>
      <w:r>
        <w:t>34. Numerical Inconsistencies</w:t>
      </w:r>
    </w:p>
    <w:p>
      <w:r>
        <w:t>Camp 15 forest loss: Abstract and Discussion report 62.8 ha decrease; Results text and Table 5 reference 62.9 ha. For synthesis use approximately 62.8–62.9 ha; prefer Table 5 for camp-level reporting after direct table verification.</w:t>
      </w:r>
    </w:p>
    <w:p>
      <w:r>
        <w:t>Total converted area (919.7 ha) slightly exceeds net settlement gain (+866.7 ha) because some settlement pixels converted back to other classes (e.g. Camp 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