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P007 — Full-Text Methodological Extraction</w:t>
      </w:r>
    </w:p>
    <w:p>
      <w:pPr>
        <w:pStyle w:val="Heading1"/>
      </w:pPr>
      <w:r>
        <w:t>1. Verified Citation</w:t>
      </w:r>
    </w:p>
    <w:p>
      <w:r>
        <w:t>Arkhangelsky, D., Athey, S., Hirshberg, D. A., Imbens, G. W., &amp; Wager, S. (2021). Synthetic Difference-in-Differences. American Economic Review, 111(12), 4088–4118. https://doi.org/10.1257/aer.20190159</w:t>
      </w:r>
    </w:p>
    <w:p>
      <w:pPr>
        <w:pStyle w:val="Heading1"/>
      </w:pPr>
      <w:r>
        <w:t>2. Publication Status</w:t>
      </w:r>
    </w:p>
    <w:p>
      <w:r>
        <w:t>Peer-reviewed methodological journal article published in American Economic Review, Volume 111, Issue 12, pages 4088–4118. Open revised manuscript reviewed from NBER Working Paper No. 25532 (February 2019, Revised July 2021). Journal metadata verified from the American Economic Association record.</w:t>
      </w:r>
    </w:p>
    <w:p>
      <w:pPr>
        <w:pStyle w:val="Heading1"/>
      </w:pPr>
      <w:r>
        <w:t>3. Methodological Objective</w:t>
      </w:r>
    </w:p>
    <w:p>
      <w:r>
        <w:t>Introduce Synthetic Difference-in-Differences (SDID), a panel-data estimator for causal effects that combines synthetic-control-style unit weighting, time-period weighting, and Difference-in-Differences regression with unit and time fixed effects.</w:t>
      </w:r>
    </w:p>
    <w:p>
      <w:pPr>
        <w:pStyle w:val="Heading1"/>
      </w:pPr>
      <w:r>
        <w:t>4. Research Problem Addressed</w:t>
      </w:r>
    </w:p>
    <w:p>
      <w:r>
        <w:t>Conventional DiD relies on parallel trends among untreated and treated units and can be sensitive to poor pre-treatment comparability. Synthetic control improves pre-treatment matching but is often limited to one treated unit and lacks DiD-style double differencing. SDID seeks to combine the strengths of both approaches in large panels.</w:t>
      </w:r>
    </w:p>
    <w:p>
      <w:pPr>
        <w:pStyle w:val="Heading1"/>
      </w:pPr>
      <w:r>
        <w:t>5. Difference-in-Differences Background</w:t>
      </w:r>
    </w:p>
    <w:p>
      <w:r>
        <w:t>Standard DiD compares changes in outcomes between treated and untreated units before and after treatment, typically using a two-way fixed-effects regression. Identification relies on parallel trends in the absence of treatment.</w:t>
      </w:r>
    </w:p>
    <w:p>
      <w:pPr>
        <w:pStyle w:val="Heading1"/>
      </w:pPr>
      <w:r>
        <w:t>6. Synthetic-Control Background</w:t>
      </w:r>
    </w:p>
    <w:p>
      <w:r>
        <w:t>Synthetic control constructs a weighted average of untreated units whose pre-treatment outcome trajectory closely matches the treated unit. It is widely used when one treated unit is compared with many donors, as in Abadie, Diamond, and Hainmueller (2010).</w:t>
      </w:r>
    </w:p>
    <w:p>
      <w:pPr>
        <w:pStyle w:val="Heading1"/>
      </w:pPr>
      <w:r>
        <w:t>7. SDID Concept</w:t>
      </w:r>
    </w:p>
    <w:p>
      <w:r>
        <w:t>SDID reweights control units to match treated units’ pre-treatment trajectories and reweights pre-treatment periods to resemble post-treatment periods. The treatment effect is then estimated through a weighted two-way fixed-effects Difference-in-Differences regression.</w:t>
      </w:r>
    </w:p>
    <w:p>
      <w:pPr>
        <w:pStyle w:val="Heading1"/>
      </w:pPr>
      <w:r>
        <w:t>8. Required Panel Structure</w:t>
      </w:r>
    </w:p>
    <w:p>
      <w:r>
        <w:t>Balanced panel data with N units, T time periods, outcome Y_it, binary treatment indicator W_it, treated and untreated units, and pre-treatment and post-treatment periods.</w:t>
      </w:r>
    </w:p>
    <w:p>
      <w:pPr>
        <w:pStyle w:val="Heading1"/>
      </w:pPr>
      <w:r>
        <w:t>9. Units, Periods and Treatment Matrix</w:t>
      </w:r>
    </w:p>
    <w:p>
      <w:r>
        <w:t>The paper defines treated units N_tr and control units N_co with T_pre pre-treatment and T_post post-treatment periods. Treatment exposure is encoded through a binary treatment matrix W_it indicating whether unit i is treated in period t.</w:t>
      </w:r>
    </w:p>
    <w:p>
      <w:pPr>
        <w:pStyle w:val="Heading1"/>
      </w:pPr>
      <w:r>
        <w:t>10. Block Treatment Assignment</w:t>
      </w:r>
    </w:p>
    <w:p>
      <w:r>
        <w:t>The main exposition focuses on block treatment assignment in which treated units switch on at a common post-treatment start date while untreated units remain untreated throughout.</w:t>
      </w:r>
    </w:p>
    <w:p>
      <w:pPr>
        <w:pStyle w:val="Heading1"/>
      </w:pPr>
      <w:r>
        <w:t>11. Unit Weights</w:t>
      </w:r>
    </w:p>
    <w:p>
      <w:r>
        <w:t>Purpose: construct a weighted combination of untreated units whose pre-treatment outcome trajectory closely resembles the average trajectory of the treated units.</w:t>
        <w:br/>
        <w:br/>
        <w:t>Interpretation: control units that provide a better counterfactual receive greater weight; dissimilar controls receive little or zero weight.</w:t>
        <w:br/>
        <w:br/>
        <w:t>Unit weighting reduces reliance on an unadjusted parallel-trends assumption by emphasizing controls with similar pre-exposure outcomes.</w:t>
      </w:r>
    </w:p>
    <w:p>
      <w:pPr>
        <w:pStyle w:val="Heading1"/>
      </w:pPr>
      <w:r>
        <w:t>12. Time Weights</w:t>
      </w:r>
    </w:p>
    <w:p>
      <w:r>
        <w:t>Purpose: assign greater importance to pre-treatment periods that are most informative about the post-treatment period.</w:t>
        <w:br/>
        <w:br/>
        <w:t>Interpretation: pre-treatment years that better predict post-treatment behavior receive higher weights.</w:t>
        <w:br/>
        <w:br/>
        <w:t>The time weights balance pre- and post-treatment outcomes among controls and can reduce both bias and variance when the selected periods are informative.</w:t>
      </w:r>
    </w:p>
    <w:p>
      <w:pPr>
        <w:pStyle w:val="Heading1"/>
      </w:pPr>
      <w:r>
        <w:t>13. Weighted Fixed-Effects Regression</w:t>
      </w:r>
    </w:p>
    <w:p>
      <w:r>
        <w:t>After estimating unit weights ω and time weights λ, SDID estimates the treatment effect through a weighted regression with unit and time fixed effects. The final estimator is a weighted Difference-in-Differences contrast on the reweighted panel.</w:t>
      </w:r>
    </w:p>
    <w:p>
      <w:pPr>
        <w:pStyle w:val="Heading1"/>
      </w:pPr>
      <w:r>
        <w:t>14. Regularization</w:t>
      </w:r>
    </w:p>
    <w:p>
      <w:r>
        <w:t>Step 1 of Algorithm 1 computes a regularization parameter ζ set as ζ = (N_tr T_post)^{1/4} σ̂, where σ̂² is estimated from pre-treatment control-unit first differences. Regularization stabilizes the weighting problem.</w:t>
      </w:r>
    </w:p>
    <w:p>
      <w:pPr>
        <w:pStyle w:val="Heading1"/>
      </w:pPr>
      <w:r>
        <w:t>15. Covariate Adjustment</w:t>
      </w:r>
    </w:p>
    <w:p>
      <w:r>
        <w:t>The main algorithm is presented for outcome-only panel data. The paper discusses extensions and comparisons with covariate-adjusted estimators in simulation and application sections, but the core SDID estimator is defined through weighted outcome trajectories rather than explicit covariate regression adjustment in the baseline algorithm.</w:t>
      </w:r>
    </w:p>
    <w:p>
      <w:pPr>
        <w:pStyle w:val="Heading1"/>
      </w:pPr>
      <w:r>
        <w:t>16. Target Estimand</w:t>
      </w:r>
    </w:p>
    <w:p>
      <w:r>
        <w:t>The average treatment effect on the treated (ATT) for units exposed to treatment in the post-treatment period, estimated relative to a synthetic control counterfactual constructed from reweighted untreated units and reweighted pre-treatment periods.</w:t>
      </w:r>
    </w:p>
    <w:p>
      <w:pPr>
        <w:pStyle w:val="Heading1"/>
      </w:pPr>
      <w:r>
        <w:t>17. Identification Logic</w:t>
      </w:r>
    </w:p>
    <w:p>
      <w:r>
        <w:t>Identification combines reweighted pre-treatment comparability with DiD double differencing. Unit weights improve match of treated pre-treatment trajectories; time weights emphasize informative pre-treatment periods; fixed effects absorb additive unit and time components.</w:t>
      </w:r>
    </w:p>
    <w:p>
      <w:pPr>
        <w:pStyle w:val="Heading1"/>
      </w:pPr>
      <w:r>
        <w:t>18. Latent-Factor Outcome Model</w:t>
      </w:r>
    </w:p>
    <w:p>
      <w:r>
        <w:t>The theoretical framework allows the systematic outcome component to include latent unit factors interacted with latent time factors, rather than relying only on simple additive fixed effects.</w:t>
      </w:r>
    </w:p>
    <w:p>
      <w:pPr>
        <w:pStyle w:val="Heading1"/>
      </w:pPr>
      <w:r>
        <w:t>19. Consistency Conditions</w:t>
      </w:r>
    </w:p>
    <w:p>
      <w:r>
        <w:t>The authors establish consistency under outcome models containing interactive latent unit-by-time factors, subject to regularization choices, donor support, and sufficient pre-treatment information.</w:t>
      </w:r>
    </w:p>
    <w:p>
      <w:pPr>
        <w:pStyle w:val="Heading1"/>
      </w:pPr>
      <w:r>
        <w:t>20. Asymptotic Normality</w:t>
      </w:r>
    </w:p>
    <w:p>
      <w:r>
        <w:t>The paper presents conditions under which the SDID estimator is asymptotically normal in large panels, enabling conventional confidence-interval construction with estimated variance.</w:t>
      </w:r>
    </w:p>
    <w:p>
      <w:pPr>
        <w:pStyle w:val="Heading1"/>
      </w:pPr>
      <w:r>
        <w:t>21. Bootstrap Inference</w:t>
      </w:r>
    </w:p>
    <w:p>
      <w:r>
        <w:t>Algorithm 2 resamples units and reruns the complete SDID estimator.</w:t>
        <w:br/>
        <w:br/>
        <w:t>Advantage: suitable for large panels.</w:t>
        <w:br/>
        <w:br/>
        <w:t>Limitation: computationally expensive because weights and estimates must be recalculated for each replication.</w:t>
        <w:br/>
        <w:br/>
        <w:t>The authors describe unit-level bootstrap as natural for panel data but potentially computationally costly.</w:t>
      </w:r>
    </w:p>
    <w:p>
      <w:pPr>
        <w:pStyle w:val="Heading1"/>
      </w:pPr>
      <w:r>
        <w:t>22. Jackknife Inference</w:t>
      </w:r>
    </w:p>
    <w:p>
      <w:r>
        <w:t>Algorithm 3 repeatedly removes treated units and recomputes the effect.</w:t>
        <w:br/>
        <w:br/>
        <w:t>Advantage: can provide conservative confidence intervals.</w:t>
        <w:br/>
        <w:br/>
        <w:t>Limitation: not defined when there is only one treated unit.</w:t>
        <w:br/>
        <w:br/>
        <w:t>The paper finds the jackknife generally conservative and notes that it is unavailable when N_treated = 1.</w:t>
      </w:r>
    </w:p>
    <w:p>
      <w:pPr>
        <w:pStyle w:val="Heading1"/>
      </w:pPr>
      <w:r>
        <w:t>23. Placebo Inference</w:t>
      </w:r>
    </w:p>
    <w:p>
      <w:r>
        <w:t>Placebo inference artificially assigns treatment to untreated units and estimates the distribution of placebo effects.</w:t>
        <w:br/>
        <w:br/>
        <w:t>Useful when the number of treated units is very small.</w:t>
        <w:br/>
        <w:br/>
        <w:t>Important assumption: the noise distribution must be sufficiently comparable across treated and untreated units.</w:t>
        <w:br/>
        <w:br/>
        <w:t>Placebo variance estimation can be used with one treated unit, but its validity relies heavily on homoskedasticity or comparable noise across units.</w:t>
      </w:r>
    </w:p>
    <w:p>
      <w:pPr>
        <w:pStyle w:val="Heading1"/>
      </w:pPr>
      <w:r>
        <w:t>24. Small-Treated-Unit Considerations</w:t>
      </w:r>
    </w:p>
    <w:p>
      <w:r>
        <w:t>When the number of treated units is small, jackknife inference is unavailable for a single treated unit and placebo methods become especially relevant. Weight concentration and donor support must be examined carefully.</w:t>
      </w:r>
    </w:p>
    <w:p>
      <w:pPr>
        <w:pStyle w:val="Heading1"/>
      </w:pPr>
      <w:r>
        <w:t>25. Empirical Applications</w:t>
      </w:r>
    </w:p>
    <w:p>
      <w:r>
        <w:t>Primary empirical illustration: California’s Proposition 99 cigarette-tax intervention, using 39 US states observed from 1970 to 2000. California is treated from 1989 onward, with 38 untreated states, 19 pre-treatment periods and 12 post-treatment periods.</w:t>
      </w:r>
    </w:p>
    <w:p>
      <w:pPr>
        <w:pStyle w:val="Heading1"/>
      </w:pPr>
      <w:r>
        <w:t>26. Simulation Evidence</w:t>
      </w:r>
    </w:p>
    <w:p>
      <w:r>
        <w:t>Simulation designs compare SDID with conventional DiD, synthetic control, and related estimators under factor-model outcome structures. Results show SDID can reduce bias and improve pre-treatment fit relative to conventional DiD in settings with heterogeneous pre-treatment trends.</w:t>
      </w:r>
    </w:p>
    <w:p>
      <w:pPr>
        <w:pStyle w:val="Heading1"/>
      </w:pPr>
      <w:r>
        <w:t>27. Advantages over Conventional DiD</w:t>
      </w:r>
    </w:p>
    <w:p>
      <w:r>
        <w:t>SDID improves pre-treatment comparability through unit and time weighting, remains invariant to additive unit-level differences through double differencing, and supports large-panel inference.</w:t>
      </w:r>
    </w:p>
    <w:p>
      <w:pPr>
        <w:pStyle w:val="Heading1"/>
      </w:pPr>
      <w:r>
        <w:t>28. Advantages over Synthetic Control</w:t>
      </w:r>
    </w:p>
    <w:p>
      <w:r>
        <w:t>SDID extends synthetic-control ideas to multiple treated units and combines them with DiD regression and fixed effects, enabling broader panel applications and formal large-sample theory.</w:t>
      </w:r>
    </w:p>
    <w:p>
      <w:pPr>
        <w:pStyle w:val="Heading1"/>
      </w:pPr>
      <w:r>
        <w:t>29. Conditions Where SDID May Perform Poorly</w:t>
      </w:r>
    </w:p>
    <w:p>
      <w:r>
        <w:t>Performance may deteriorate when donor pools lack common support, pre-treatment fit is poor, weights become concentrated on a few units or periods, treatment is not well approximated by block assignment, or noise is heterogeneous across units.</w:t>
      </w:r>
    </w:p>
    <w:p>
      <w:pPr>
        <w:pStyle w:val="Heading1"/>
      </w:pPr>
      <w:r>
        <w:t>30. Author-Stated Limitations</w:t>
      </w:r>
    </w:p>
    <w:p>
      <w:r>
        <w:t>The main presentation assumes a balanced panel and binary treatment. Inference choices depend on panel size and treated-unit count. Placebo inference relies on comparable noise across units. The authors acknowledge scale dependence of weighting and the need for adequate donor support.</w:t>
      </w:r>
    </w:p>
    <w:p>
      <w:pPr>
        <w:pStyle w:val="Heading1"/>
      </w:pPr>
      <w:r>
        <w:t>31. Application Limitations for Our Research</w:t>
      </w:r>
    </w:p>
    <w:p>
      <w:r>
        <w:t>The main presentation assumes a balanced panel and binary treatment.</w:t>
        <w:br/>
        <w:br/>
        <w:t>Reliable estimation requires treated units to have sufficiently comparable donor units and informative pre-treatment periods.</w:t>
        <w:br/>
        <w:br/>
        <w:t>Poor pre-treatment fit or a donor pool lacking common support can produce unstable or concentrated weights.</w:t>
        <w:br/>
        <w:br/>
        <w:t>The standard estimator does not automatically resolve interference or spatial spillovers between treated and control locations.</w:t>
        <w:br/>
        <w:br/>
        <w:t>Forest outcomes measured in neighbouring grid cells are spatially dependent, requiring spatially appropriate inference beyond the paper’s basic implementations.</w:t>
        <w:br/>
        <w:br/>
        <w:t>Time-varying and continuous camp exposure cannot be inserted into the basic binary block-treatment design without additional design decisions.</w:t>
        <w:br/>
        <w:br/>
        <w:t>Measurement error in annual forest classification and biomass estimates can propagate into the causal estimates.</w:t>
        <w:br/>
        <w:br/>
        <w:t>SDID estimates causal effects only under a defensible treatment, donor pool, timing and no-unmodelled-confounding design; weighting alone does not guarantee causality.</w:t>
      </w:r>
    </w:p>
    <w:p>
      <w:pPr>
        <w:pStyle w:val="Heading1"/>
      </w:pPr>
      <w:r>
        <w:t>32. Required Diagnostics</w:t>
      </w:r>
    </w:p>
    <w:p>
      <w:r>
        <w:t>1. Pre-treatment observed-versus-synthetic trajectory plot</w:t>
        <w:br/>
        <w:t>2. Unit-weight distribution</w:t>
        <w:br/>
        <w:t>3. Time-weight distribution</w:t>
        <w:br/>
        <w:t>4. Effective number of donor units</w:t>
        <w:br/>
        <w:t>5. Maximum donor weight</w:t>
        <w:br/>
        <w:t>6. Pre-treatment RMSE</w:t>
        <w:br/>
        <w:t>7. Covariate-balance table</w:t>
        <w:br/>
        <w:t>8. Placebo-area effects</w:t>
        <w:br/>
        <w:t>9. Placebo-year effects</w:t>
        <w:br/>
        <w:t>10. Alternative treatment buffers</w:t>
        <w:br/>
        <w:t>11. Alternative donor pools</w:t>
        <w:br/>
        <w:t>12. Spillover exclusion zones</w:t>
        <w:br/>
        <w:t>13. Leave-one-donor-region-out analysis</w:t>
        <w:br/>
        <w:t>14. Conventional DiD comparison</w:t>
        <w:br/>
        <w:t>15. Synthetic Control comparison</w:t>
        <w:br/>
        <w:t>16. SDID comparison</w:t>
        <w:br/>
        <w:t>17. Sensitivity to excluding 2017</w:t>
        <w:br/>
        <w:t>18. Sensitivity to forest-definition thresholds</w:t>
      </w:r>
    </w:p>
    <w:p>
      <w:pPr>
        <w:pStyle w:val="Heading1"/>
      </w:pPr>
      <w:r>
        <w:t>33. Relevance to the Rohingya Forest Study</w:t>
      </w:r>
    </w:p>
    <w:p>
      <w:r>
        <w:t>Conventional DiD (Dampha et al., P002) compared predefined 0–5 km treatment pixels with 10–15 km control pixels, but those zones can differ in initial forest cover, terrain, roads, protected-area status, human settlement and pre-2017 forest-loss trends.</w:t>
        <w:br/>
        <w:br/>
        <w:t>Instead of treating all control units equally, SDID will assign larger weights to control grid cells that best reproduce the pre-2017 forest trajectory of the treated grid cells.</w:t>
        <w:br/>
        <w:br/>
        <w:t>This directly supports the proposed use of a long annual forest panel. SDID was designed to combine synthetic-control matching with DiD’s unit-shift robustness and large-panel inference.</w:t>
      </w:r>
    </w:p>
    <w:p>
      <w:pPr>
        <w:pStyle w:val="Heading1"/>
      </w:pPr>
      <w:r>
        <w:t>34. Proposed SDID Panel Design</w:t>
      </w:r>
    </w:p>
    <w:p>
      <w:r>
        <w:t>Provisional methodological plan (final specification to be locked in Step 3):</w:t>
        <w:br/>
        <w:br/>
        <w:t>Unit: spatial grid cell or comparable landscape unit</w:t>
        <w:br/>
        <w:t>Time: annual observations, 2001–2025</w:t>
        <w:br/>
        <w:t>Primary outcome: annual forest-cover loss or remaining forest cover</w:t>
        <w:br/>
        <w:t>Secondary outcomes: fragmentation metrics; above-ground carbon loss</w:t>
        <w:br/>
        <w:br/>
        <w:t>Primary treatment: exposure to the post-2017 Rohingya camp-influence zone</w:t>
        <w:br/>
        <w:t>Pre-treatment: 2001–2016</w:t>
        <w:br/>
        <w:t>Transition year: 2017</w:t>
        <w:br/>
        <w:t>Post-treatment: 2018–2025</w:t>
        <w:br/>
        <w:br/>
        <w:t>2017 will be held out of the main model as a transition year because influx and rapid landscape conversion occurred within that year. This is a study-design decision, not a requirement of P007.</w:t>
        <w:br/>
        <w:br/>
        <w:t>Donor/control pool: comparable untreated or minimally exposed grid cells selected from Ukhiya–Teknaf and potentially the wider Cox’s Bazar landscape, subject to ecological and pre-treatment comparability.</w:t>
        <w:br/>
        <w:br/>
        <w:t>Possible exclusions from the control pool: camp boundary pixels; high-spillover zones; major urban centres; permanently non-forest landscapes; units lacking sufficient pre-treatment forest; units with major unrelated interventions.</w:t>
      </w:r>
    </w:p>
    <w:p>
      <w:pPr>
        <w:pStyle w:val="Heading1"/>
      </w:pPr>
      <w:r>
        <w:t>35. Robustness Strategy</w:t>
      </w:r>
    </w:p>
    <w:p>
      <w:r>
        <w:t>Primary inference: spatial block bootstrap or appropriately clustered uncertainty.</w:t>
        <w:br/>
        <w:br/>
        <w:t>Additional checks: placebo treatment areas; placebo treatment years; alternative donor pools; alternative buffer distances; leave-one-region-out tests.</w:t>
        <w:br/>
        <w:br/>
        <w:t>Benchmark models: conventional DiD, synthetic control and SDID reported together with pre-fit, weight-concentration, placebo and spillover diagnostics.</w:t>
        <w:br/>
        <w:br/>
        <w:t>Spatially blocked inference is an application-level extension required because nearby grid cells are not independent.</w:t>
      </w:r>
    </w:p>
    <w:p>
      <w:pPr>
        <w:pStyle w:val="Heading1"/>
      </w:pPr>
      <w:r>
        <w:t>36. Research Gap Supported by P007</w:t>
      </w:r>
    </w:p>
    <w:p>
      <w:r>
        <w:t>P007 provides the causal estimator but does not address environmental remote-sensing outcomes, spatial spillover from refugee camps, fragmentation, biomass uncertainty or time-varying camp expansion.</w:t>
        <w:br/>
        <w:br/>
        <w:t>The proposed study will adapt SDID to an annual spatial panel of forest, fragmentation and above-ground carbon outcomes and combine it with remote-sensing validation, spatial sensitivity tests and camp-exposure reconstruction.</w:t>
      </w:r>
    </w:p>
    <w:p>
      <w:pPr>
        <w:pStyle w:val="Heading1"/>
      </w:pPr>
      <w:r>
        <w:t>37. Important Algorithms, Equations and Figures</w:t>
      </w:r>
    </w:p>
    <w:p>
      <w:r>
        <w:t>Algorithm 1: Synthetic Difference-in-Differences (SDID)</w:t>
        <w:br/>
        <w:t>Step 1: estimate the regularization parameter</w:t>
        <w:br/>
        <w:t>Step 2: estimate unit weights</w:t>
        <w:br/>
        <w:t>Step 3: estimate time weights</w:t>
        <w:br/>
        <w:t>Step 4: run the weighted Difference-in-Differences regression with unit and time fixed effects</w:t>
        <w:br/>
        <w:br/>
        <w:t>Algorithm 2: Bootstrap variance estimation</w:t>
        <w:br/>
        <w:t>Algorithm 3: Jackknife variance estimation</w:t>
        <w:br/>
        <w:br/>
        <w:t>Key equations include the regularization parameter ζ = (N_tr T_post)^{1/4} σ̂ and the confidence interval τ ∈ τ̂_sdid ± z_{α/2} √V̂_τ.</w:t>
        <w:br/>
        <w:br/>
        <w:t>California Proposition 99 application figures illustrate pre-treatment fit, weights and estimated treatment effects relative to DiD and synthetic control.</w:t>
      </w:r>
    </w:p>
    <w:p>
      <w:pPr>
        <w:pStyle w:val="Heading1"/>
      </w:pPr>
      <w:r>
        <w:t>38. Software and Reproducibility Resources</w:t>
      </w:r>
    </w:p>
    <w:p>
      <w:r>
        <w:t>R package: https://github.com/synth-inference/synthdid</w:t>
        <w:br/>
        <w:t>Vignette: https://synthinference.github.io/synthdid/</w:t>
        <w:br/>
        <w:br/>
        <w:t>NBER Working Paper No. 25532 (Revised July 2021) used as the open full-text reviewed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