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P008 — Full-Text Extraction</w:t>
      </w:r>
    </w:p>
    <w:p>
      <w:pPr>
        <w:pStyle w:val="Heading1"/>
      </w:pPr>
      <w:r>
        <w:t>1. Verified Citation</w:t>
      </w:r>
    </w:p>
    <w:p>
      <w:r>
        <w:t>Salemi, C. (2025). Rohingya refugee camps and land cover change in Bangladesh (Working paper, 11 November 2025). University of Victoria. Author-hosted open full text: https://colettesalemi.ca/files/CB_LC_2025.pdf. No DOI verified.</w:t>
      </w:r>
    </w:p>
    <w:p>
      <w:pPr>
        <w:pStyle w:val="Heading1"/>
      </w:pPr>
      <w:r>
        <w:t>2. Publication and Review Status</w:t>
      </w:r>
    </w:p>
    <w:p>
      <w:r>
        <w:t>Working paper — under review. Publication type: Working Paper. Peer reviewed: No. Author CV and draft framing list the paper as under review rather than a published peer-reviewed journal article.</w:t>
      </w:r>
    </w:p>
    <w:p>
      <w:pPr>
        <w:pStyle w:val="Heading1"/>
      </w:pPr>
      <w:r>
        <w:t>3. Version History</w:t>
      </w:r>
    </w:p>
    <w:p>
      <w:r>
        <w:t>Version reviewed: 11 November 2025 draft, 65 pages including technical appendix. The draft states that it extends the earlier collaboration that produced World Bank Policy Research Working Paper No. 9948 (P002). P008 is therefore related to P002 but is a newer and substantially expanded individual study.</w:t>
      </w:r>
    </w:p>
    <w:p>
      <w:pPr>
        <w:pStyle w:val="Heading1"/>
      </w:pPr>
      <w:r>
        <w:t>4. Research Objective</w:t>
      </w:r>
    </w:p>
    <w:p>
      <w:r>
        <w:t>To estimate how rapid establishment and expansion of large-scale Rohingya refugee camps affected competition for land and local land cover in Cox’s Bazar, distinguishing direct extraction channels from indirect general-equilibrium settlement and economic-activity effects.</w:t>
      </w:r>
    </w:p>
    <w:p>
      <w:pPr>
        <w:pStyle w:val="Heading1"/>
      </w:pPr>
      <w:r>
        <w:t>5. Theoretical Channels</w:t>
      </w:r>
    </w:p>
    <w:p>
      <w:r>
        <w:t>Direct channel: low-cost biofuel and related resource extraction near camps. Indirect/general-equilibrium channel: economic growth, business formation, host-community in-migration and humanitarian infrastructure that expand settlement cover. Post-2019 attenuation may reflect LPG cookstove distribution, camp fencing, or both.</w:t>
      </w:r>
    </w:p>
    <w:p>
      <w:pPr>
        <w:pStyle w:val="Heading1"/>
      </w:pPr>
      <w:r>
        <w:t>6. Study Area</w:t>
      </w:r>
    </w:p>
    <w:p>
      <w:r>
        <w:t>Cox’s Bazar District and adjacent Naikhongchhari subdistrict, Bangladesh. Primary analysis covers areas around Rohingya camp boundaries. Chittagong District is used as an alternative comparison area in robustness checks.</w:t>
      </w:r>
    </w:p>
    <w:p>
      <w:pPr>
        <w:pStyle w:val="Heading1"/>
      </w:pPr>
      <w:r>
        <w:t>7. Camp and Administrative Coverage</w:t>
      </w:r>
    </w:p>
    <w:p>
      <w:r>
        <w:t>Primary dataset includes Cox’s Bazar and Naikhongchhari. Camp analysis uses UNHCR/IOM ISCG camp-boundary polygons. Heterogeneity focuses especially on the Kutupalong Expansion Site. Protected-area matched controls draw heavily from Himchari National Park.</w:t>
      </w:r>
    </w:p>
    <w:p>
      <w:pPr>
        <w:pStyle w:val="Heading1"/>
      </w:pPr>
      <w:r>
        <w:t>8. Study Period</w:t>
      </w:r>
    </w:p>
    <w:p>
      <w:r>
        <w:t>Land-cover panel: 2016–2023. Pre-treatment observations: February 2016 and February 2017. Treatment/influx: August 2017. Post-treatment observations: February 2018–February 2023. Nighttime lights: 2013–2021. February 2017 is treated as the final pre-treatment observation because it predates the August 2017 mass influx.</w:t>
      </w:r>
    </w:p>
    <w:p>
      <w:pPr>
        <w:pStyle w:val="Heading1"/>
      </w:pPr>
      <w:r>
        <w:t>9. Dynamic World Dataset</w:t>
      </w:r>
    </w:p>
    <w:p>
      <w:r>
        <w:t>Dynamic World 10 m probabilistic land-cover product. Provides probabilities for water, trees, shrubs, grasses, built-up, flooded vegetation, crops, bare ground and snow/ice. The study uses probability layers rather than hard classifications.</w:t>
      </w:r>
    </w:p>
    <w:p>
      <w:pPr>
        <w:pStyle w:val="Heading1"/>
      </w:pPr>
      <w:r>
        <w:t>10. Land-Cover Outcomes</w:t>
      </w:r>
    </w:p>
    <w:p>
      <w:r>
        <w:t>Main outcome classes: Forest; Settlement; Vegetation (shrubs and grasses); Agriculture. Bare ground and flooded vegetation were excluded from the main analysis because they were uncommon and showed limited temporal variation.</w:t>
      </w:r>
    </w:p>
    <w:p>
      <w:pPr>
        <w:pStyle w:val="Heading1"/>
      </w:pPr>
      <w:r>
        <w:t>11. Annual Composite Construction</w:t>
      </w:r>
    </w:p>
    <w:p>
      <w:r>
        <w:t>All February Dynamic World layers were averaged separately for each year from 2016 to 2023. The February dry-season restriction was used to reduce cloud interference.</w:t>
      </w:r>
    </w:p>
    <w:p>
      <w:pPr>
        <w:pStyle w:val="Heading1"/>
      </w:pPr>
      <w:r>
        <w:t>12. Spatial Resolution and Analysis Units</w:t>
      </w:r>
    </w:p>
    <w:p>
      <w:r>
        <w:t>Original resolution: 10 m. Analysis resolution: upscaled to 30 m by averaging probabilities. Initial analytical sample: 2,899,227 30 m grid cells. Matching is conducted at 1 km contiguous spatial grid cells, while causal estimation returns to the underlying 30 m observations.</w:t>
      </w:r>
    </w:p>
    <w:p>
      <w:pPr>
        <w:pStyle w:val="Heading1"/>
      </w:pPr>
      <w:r>
        <w:t>13. Camp-Boundary Data</w:t>
      </w:r>
    </w:p>
    <w:p>
      <w:r>
        <w:t>UNHCR/IOM ISCG camp-boundary polygons defining official Rohingya camp extents used for distance-to-camp treatment assignment.</w:t>
      </w:r>
    </w:p>
    <w:p>
      <w:pPr>
        <w:pStyle w:val="Heading1"/>
      </w:pPr>
      <w:r>
        <w:t>14. Protected-Area Data</w:t>
      </w:r>
    </w:p>
    <w:p>
      <w:r>
        <w:t>Protected Planet WDPA polygons. Matching includes the share of each 1 km grid inside a protected area. Protected-area heterogeneity uses matched controls drawn largely from Himchari National Park.</w:t>
      </w:r>
    </w:p>
    <w:p>
      <w:pPr>
        <w:pStyle w:val="Heading1"/>
      </w:pPr>
      <w:r>
        <w:t>15. Nighttime-Lights Data</w:t>
      </w:r>
    </w:p>
    <w:p>
      <w:r>
        <w:t>VIIRS annual nighttime-light composites (masked annual Version 2.1), 500 m resolution, 2013–2021. Used as supporting evidence of camp-related economic activity and settlement expansion rather than as the primary land-cover outcome.</w:t>
      </w:r>
    </w:p>
    <w:p>
      <w:pPr>
        <w:pStyle w:val="Heading1"/>
      </w:pPr>
      <w:r>
        <w:t>16. Cox’s Bazar Panel Survey Evidence</w:t>
      </w:r>
    </w:p>
    <w:p>
      <w:r>
        <w:t>Cox’s Bazar Panel Survey 2019 provides contextual evidence on host–refugee interactions, livelihoods and resource-use pressures supporting mechanism interpretation.</w:t>
      </w:r>
    </w:p>
    <w:p>
      <w:pPr>
        <w:pStyle w:val="Heading1"/>
      </w:pPr>
      <w:r>
        <w:t>17. Treatment Definition</w:t>
      </w:r>
    </w:p>
    <w:p>
      <w:r>
        <w:t>30 m pixels located 0–5 km from the nearest camp boundary. The author selected 0–5 km to capture both low-cost direct extraction and local camp-related agglomeration effects.</w:t>
      </w:r>
    </w:p>
    <w:p>
      <w:pPr>
        <w:pStyle w:val="Heading1"/>
      </w:pPr>
      <w:r>
        <w:t>18. Control Definition</w:t>
      </w:r>
    </w:p>
    <w:p>
      <w:r>
        <w:t>Control pool: areas located more than 20 km from the nearest camp boundary.</w:t>
      </w:r>
    </w:p>
    <w:p>
      <w:pPr>
        <w:pStyle w:val="Heading1"/>
      </w:pPr>
      <w:r>
        <w:t>19. Spillover-Exclusion Zone</w:t>
      </w:r>
    </w:p>
    <w:p>
      <w:r>
        <w:t>Pixels located more than 5 km and up to 20 km from camps were omitted to reduce control-group contamination.</w:t>
      </w:r>
    </w:p>
    <w:p>
      <w:pPr>
        <w:pStyle w:val="Heading1"/>
      </w:pPr>
      <w:r>
        <w:t>20. Matching Unit</w:t>
      </w:r>
    </w:p>
    <w:p>
      <w:r>
        <w:t>Matching resolution: 1 km contiguous spatial grid cells, chosen to preserve contiguous landscape clusters before returning to 30 m cells for estimation.</w:t>
      </w:r>
    </w:p>
    <w:p>
      <w:pPr>
        <w:pStyle w:val="Heading1"/>
      </w:pPr>
      <w:r>
        <w:t>21. Propensity-Score Model</w:t>
      </w:r>
    </w:p>
    <w:p>
      <w:r>
        <w:t>Probit regression estimating the probability of treatment assignment as a function of pre-treatment land-cover probabilities and protected-area share.</w:t>
      </w:r>
    </w:p>
    <w:p>
      <w:pPr>
        <w:pStyle w:val="Heading1"/>
      </w:pPr>
      <w:r>
        <w:t>22. Matching Variables</w:t>
      </w:r>
    </w:p>
    <w:p>
      <w:r>
        <w:t>2016 forest probability; 2017 forest probability; 2016 settlement probability; 2017 settlement probability; 2016 vegetation probability; 2017 vegetation probability; 2016 agriculture probability; 2017 agriculture probability; share of the 1 km grid inside a protected area.</w:t>
      </w:r>
    </w:p>
    <w:p>
      <w:pPr>
        <w:pStyle w:val="Heading1"/>
      </w:pPr>
      <w:r>
        <w:t>23. Matching Algorithm</w:t>
      </w:r>
    </w:p>
    <w:p>
      <w:r>
        <w:t>Nearest neighbour matching, K = 1; caliper 0.1; observations outside common support excluded. A newly matched sample is generated for every revised specification.</w:t>
      </w:r>
    </w:p>
    <w:p>
      <w:pPr>
        <w:pStyle w:val="Heading1"/>
      </w:pPr>
      <w:r>
        <w:t>24. Covariate Balance</w:t>
      </w:r>
    </w:p>
    <w:p>
      <w:r>
        <w:t>Main matched sample: 347,561 control 30 m cells and 305,213 treatment 30 m cells. Post-matching standardized differences were below 0.1 for the main covariates, although several mean differences remained statistically significant because of the very large sample.</w:t>
      </w:r>
    </w:p>
    <w:p>
      <w:pPr>
        <w:pStyle w:val="Heading1"/>
      </w:pPr>
      <w:r>
        <w:t>25. Difference-in-Differences Event Study</w:t>
      </w:r>
    </w:p>
    <w:p>
      <w:r>
        <w:t>Matched Difference-in-Differences event study with reference year 2017. Event-study coefficients estimate yearly treatment–control differences relative to February 2017. The only formal pre-treatment coefficient compares 2016 with 2017.</w:t>
      </w:r>
    </w:p>
    <w:p>
      <w:pPr>
        <w:pStyle w:val="Heading1"/>
      </w:pPr>
      <w:r>
        <w:t>26. Fixed Effects and Standard Errors</w:t>
      </w:r>
    </w:p>
    <w:p>
      <w:r>
        <w:t>Fixed effects: 30 m grid-cell fixed effects and year fixed effects. Standard errors clustered using intersections with a 1 km grid. Nighttime-lights analysis uses 2 km grid clusters.</w:t>
      </w:r>
    </w:p>
    <w:p>
      <w:pPr>
        <w:pStyle w:val="Heading1"/>
      </w:pPr>
      <w:r>
        <w:t>27. Identification Assumptions</w:t>
      </w:r>
    </w:p>
    <w:p>
      <w:r>
        <w:t>Conditional parallel trends after propensity-score matching on observed pre-treatment land-cover probabilities and protected-area status. The assumption that the 2016–2017 treatment–control trend represents earlier unobserved trends cannot be tested directly because only two pre-treatment years are available. This is matched DiD, not SDID.</w:t>
      </w:r>
    </w:p>
    <w:p>
      <w:pPr>
        <w:pStyle w:val="Heading1"/>
      </w:pPr>
      <w:r>
        <w:t>28. Main Forest-Cover Results</w:t>
      </w:r>
    </w:p>
    <w:p>
      <w:r>
        <w:t>2019: forest cover −4.6 percentage points (approximately 12% below the matched baseline mean). 2020–2022: forest deficit narrowed to approximately −2.6 to −3.3 percentage points. 2023: forest deficit approximately −1.7 percentage points. The estimated forest effect peaks in 2019 and subsequently attenuates. The author warns that the rapid rebound may represent slower treatment-area loss relative to controls rather than literal rapid tree regrowth.</w:t>
      </w:r>
    </w:p>
    <w:p>
      <w:pPr>
        <w:pStyle w:val="Heading1"/>
      </w:pPr>
      <w:r>
        <w:t>29. Settlement-Cover Results</w:t>
      </w:r>
    </w:p>
    <w:p>
      <w:r>
        <w:t>2022–2023: settlement cover increased approximately 3.4–3.7 percentage points (approximately 44% above baseline in the relevant specification). Settlement expansion continued even while the forest-cover difference narrowed.</w:t>
      </w:r>
    </w:p>
    <w:p>
      <w:pPr>
        <w:pStyle w:val="Heading1"/>
      </w:pPr>
      <w:r>
        <w:t>30. Vegetation and Agriculture Results</w:t>
      </w:r>
    </w:p>
    <w:p>
      <w:r>
        <w:t>Vegetation (shrubs/grasses) and agriculture probabilities are analysed as secondary outcomes. Main causal narrative emphasizes forest decline followed by attenuation, concurrent settlement expansion, and the implication that forest-to-settlement conversion alone does not explain all dynamics.</w:t>
      </w:r>
    </w:p>
    <w:p>
      <w:pPr>
        <w:pStyle w:val="Heading1"/>
      </w:pPr>
      <w:r>
        <w:t>31. Protected-Area Heterogeneity</w:t>
      </w:r>
    </w:p>
    <w:p>
      <w:r>
        <w:t>Peak 2019 forest effect approximately −3.2 percentage points in protected areas. Forest losses occurred but were comparatively short-lived. Matched protected-area controls were drawn largely from Himchari National Park.</w:t>
      </w:r>
    </w:p>
    <w:p>
      <w:pPr>
        <w:pStyle w:val="Heading1"/>
      </w:pPr>
      <w:r>
        <w:t>32. Kutupalong Heterogeneity</w:t>
      </w:r>
    </w:p>
    <w:p>
      <w:r>
        <w:t>Kutupalong Expansion Site: 2019 forest effect approximately −5.8 percentage points; 2023 forest effect approximately −2.1 percentage points; settlement effect by 2022–2023 approximately +4.6 to +4.8 percentage points. Effects were stronger than those from all camp areas combined.</w:t>
      </w:r>
    </w:p>
    <w:p>
      <w:pPr>
        <w:pStyle w:val="Heading1"/>
      </w:pPr>
      <w:r>
        <w:t>33. Robustness Checks</w:t>
      </w:r>
    </w:p>
    <w:p>
      <w:r>
        <w:t>1. Alternative treatment radius: 0–10 km</w:t>
        <w:br/>
        <w:t>2. Chittagong District comparison sample</w:t>
        <w:br/>
        <w:t>3. Naikhongchhari subdistrict omitted</w:t>
        <w:br/>
        <w:t>4. Protected-area-only analysis</w:t>
        <w:br/>
        <w:t>5. Kutupalong Expansion Site analysis</w:t>
        <w:br/>
        <w:t>6. Newly matched sample generated for every revised specification</w:t>
        <w:br/>
        <w:br/>
        <w:t>Under the 0–10 km specification, the 2019 forest effect fell to approximately 3.6 percentage points, suggesting stronger impacts closer to camp boundaries. The principal dynamic pattern remained similar under the other comparison samples.</w:t>
      </w:r>
    </w:p>
    <w:p>
      <w:pPr>
        <w:pStyle w:val="Heading1"/>
      </w:pPr>
      <w:r>
        <w:t>34. Nighttime-Lights Analysis</w:t>
      </w:r>
    </w:p>
    <w:p>
      <w:r>
        <w:t>Dataset: VIIRS annual composite Version 2.1; resolution 500 m; period 2013–2021; baseline 2016; standard-error clusters 2 km grid. 2021 treatment effect approximately +0.2 radiance units (approximately four times the 2016 treatment baseline of 0.05). Interpreted as evidence of camp-related economic activity, public investment, business development and nearby host-community settlement expansion. Pre-treatment balance remains imperfect because nighttime-light values are extremely low and spatially compressed.</w:t>
      </w:r>
    </w:p>
    <w:p>
      <w:pPr>
        <w:pStyle w:val="Heading1"/>
      </w:pPr>
      <w:r>
        <w:t>35. LPG and Fencing Interpretation</w:t>
      </w:r>
    </w:p>
    <w:p>
      <w:r>
        <w:t>Forest-loss attenuation after 2019 is potentially associated with LPG cookstove distribution, camp fencing, or both. The study does not causally separate LPG effects from fencing effects because their timing overlaps and sufficiently detailed rollout-location data were unavailable.</w:t>
      </w:r>
    </w:p>
    <w:p>
      <w:pPr>
        <w:pStyle w:val="Heading1"/>
      </w:pPr>
      <w:r>
        <w:t>36. Direct and Indirect Mechanisms</w:t>
      </w:r>
    </w:p>
    <w:p>
      <w:r>
        <w:t>Initial forest decline: likely associated with fuelwood and other biofuel extraction. Settlement growth: potential indirect/general-equilibrium effect through economic growth, business formation, host-community in-migration and humanitarian infrastructure.</w:t>
      </w:r>
    </w:p>
    <w:p>
      <w:pPr>
        <w:pStyle w:val="Heading1"/>
      </w:pPr>
      <w:r>
        <w:t>37. Author-Stated Limitations</w:t>
      </w:r>
    </w:p>
    <w:p>
      <w:r>
        <w:t>Only two pre-treatment observations, producing only one estimable pre-treatment event-study coefficient. The 2016–2017 trend cannot be used to verify earlier parallel trends. LPG and fencing cannot be separately identified. Nighttime-light matching has limited support in a low-radiance rural setting. Dynamic World classification uncertainty and dry-season agriculture/settlement confusion are acknowledged.</w:t>
      </w:r>
    </w:p>
    <w:p>
      <w:pPr>
        <w:pStyle w:val="Heading1"/>
      </w:pPr>
      <w:r>
        <w:t>38. Limitations Identified by Us</w:t>
      </w:r>
    </w:p>
    <w:p>
      <w:r>
        <w:t>Only two pre-treatment observations are available, producing only one estimable pre-treatment event-study coefficient.</w:t>
        <w:br/>
        <w:br/>
        <w:t>The assumption that the 2016–2017 treatment–control trend represents earlier unobserved trends cannot be tested directly.</w:t>
        <w:br/>
        <w:br/>
        <w:t>Camp exposure is defined using fixed distance to mapped camp boundaries rather than annual time-varying camp expansion.</w:t>
        <w:br/>
        <w:br/>
        <w:t>Dynamic World probabilities contain classification uncertainty, especially for rural settlement and dry-season agriculture.</w:t>
        <w:br/>
        <w:br/>
        <w:t>The 10 m data were upscaled to 30 m, potentially smoothing fine-scale forest and settlement changes.</w:t>
        <w:br/>
        <w:br/>
        <w:t>Matching improves observed pre-treatment balance but cannot eliminate unobserved time-varying confounding.</w:t>
        <w:br/>
        <w:br/>
        <w:t>Spatial interference may extend beyond the omitted 5–20 km zone and contaminate the wider control pool.</w:t>
        <w:br/>
        <w:br/>
        <w:t>The study does not quantify fragmentation, biomass, carbon loss, CO₂-equivalent emissions or land-cover classification uncertainty.</w:t>
        <w:br/>
        <w:br/>
        <w:t>LPG cookstove and fencing effects cannot be separately identified.</w:t>
        <w:br/>
        <w:br/>
        <w:t>Nighttime-light matching has limited support because rural radiance is very low and several standardized differences remain above 0.1.</w:t>
        <w:br/>
        <w:br/>
        <w:t>The study is currently an under-review working paper.</w:t>
      </w:r>
    </w:p>
    <w:p>
      <w:pPr>
        <w:pStyle w:val="Heading1"/>
      </w:pPr>
      <w:r>
        <w:t>39. Relevance to Our Research</w:t>
      </w:r>
    </w:p>
    <w:p>
      <w:r>
        <w:t>Very high. P008 is the strongest existing annual causal land-cover attribution study for the Rohingya camp landscape and directly constrains claims of novelty regarding annual data, matching, event studies and causal land-cover analysis. It also supplies mechanism evidence on settlement expansion, nighttime lights, protected-area moderation and post-2019 intervention-related attenuation.</w:t>
      </w:r>
    </w:p>
    <w:p>
      <w:pPr>
        <w:pStyle w:val="Heading1"/>
      </w:pPr>
      <w:r>
        <w:t>40. Research Gap</w:t>
      </w:r>
    </w:p>
    <w:p>
      <w:r>
        <w:t>P008 already provides annual 2016–2023 land-cover outcomes, propensity-score matching and a Difference-in-Differences event study. Therefore, the proposed research cannot claim novelty merely from using annual data, matching, an event study, or causal land-cover attribution.</w:t>
        <w:br/>
        <w:br/>
        <w:t>The proposed contribution must extend this evidence through a much longer 2001–2025 pre-treatment panel, time-varying camp exposure, SDID donor and time weighting, spatial-interference diagnostics, annual fragmentation outcomes, above-ground carbon attribution, classification and biomass uncertainty, SHAP-based predictive-driver interpretation and conservation-priority mapping.</w:t>
      </w:r>
    </w:p>
    <w:p>
      <w:pPr>
        <w:pStyle w:val="Heading1"/>
      </w:pPr>
      <w:r>
        <w:t>41. Comparison with P002</w:t>
      </w:r>
    </w:p>
    <w:p>
      <w:r>
        <w:t>P002 (Dampha, Salemi and Polasky, 2022) used Landsat-based classification and a four-date conventional DiD with 0–5 km treatment and 10–15 km control. P008 expands that collaboration into an individual working paper with annual Dynamic World probabilities (2016–2023), propensity-score matching, a spillover-exclusion zone (5–20 km omitted; controls &gt;20 km), event-study dynamics, protected-area and Kutupalong heterogeneity, and nighttime-lights analysis. P008 therefore supersedes P002 as the more recent annual causal land-cover benchmark.</w:t>
      </w:r>
    </w:p>
    <w:p>
      <w:pPr>
        <w:pStyle w:val="Heading1"/>
      </w:pPr>
      <w:r>
        <w:t>42. Comparison with Proposed SDID Design</w:t>
      </w:r>
    </w:p>
    <w:p>
      <w:r>
        <w:t>P008 uses propensity-score matching plus DiD event study; it does not use Synthetic Difference-in-Differences. It has only two pre-treatment years, fixed distance-based exposure, and no fragmentation or carbon outcomes. The proposed design remains differentiated by a 2001–2025 panel, time-varying camp exposure, SDID unit and time weighting, fragmentation, attributable above-ground carbon, uncertainty propagation and SHAP analysis.</w:t>
      </w:r>
    </w:p>
    <w:p>
      <w:pPr>
        <w:pStyle w:val="Heading1"/>
      </w:pPr>
      <w:r>
        <w:t>43. Important Tables and Figures</w:t>
      </w:r>
    </w:p>
    <w:p>
      <w:r>
        <w:t>Event-study forest and settlement figures; matching balance diagnostics; protected-area heterogeneity results; Kutupalong Expansion Site results; 0–10 km robustness; Chittagong comparison; nighttime-lights event study; technical appendix tables reporting full coefficient estimates and alternative matched samples.</w:t>
      </w:r>
    </w:p>
    <w:p>
      <w:pPr>
        <w:pStyle w:val="Heading1"/>
      </w:pPr>
      <w:r>
        <w:t>44. Numerical or Terminological Issues</w:t>
      </w:r>
    </w:p>
    <w:p>
      <w:r>
        <w:t>Title and abstract sometimes use Cox Bazar / Cox Bazaar spelling variants. Abstract reports settlement reaching 3.7 points in 2022, while results text discusses approximately 3.4–3.7 percentage points for 2022–2023; synthesis should retain the range. The statistical forest rebound should not be termed mature regeneration without additional ecological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