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P010 — Full-Text Extraction</w:t>
      </w:r>
    </w:p>
    <w:p>
      <w:pPr>
        <w:pStyle w:val="Heading1"/>
      </w:pPr>
      <w:r>
        <w:t>1. Verified Citation</w:t>
      </w:r>
    </w:p>
    <w:p>
      <w:r>
        <w:t>Hasan, M. E., Zhang, L., Dewan, A., Guo, H., &amp; Mahmood, R. (2021). Spatiotemporal pattern of forest degradation and loss of ecosystem function associated with Rohingya influx: A geospatial approach. Land Degradation &amp; Development, 32(13), 3666–3683. https://doi.org/10.1002/ldr.3821</w:t>
      </w:r>
    </w:p>
    <w:p>
      <w:pPr>
        <w:pStyle w:val="Heading1"/>
      </w:pPr>
      <w:r>
        <w:t>2. Publication and Version Status</w:t>
      </w:r>
    </w:p>
    <w:p>
      <w:r>
        <w:t>Research Article / Special Issue Article. Peer reviewed: Yes. Final issue year: 2021 (Volume 32, Issue 13, pages 3666–3683). Online first / accepted version: 2020. Received 26 June 2020; revised 19 October 2020; accepted 3 November 2020; online publication 6 November 2020. Master matrix Year = 2021; notes record Online first: 2020.</w:t>
      </w:r>
    </w:p>
    <w:p>
      <w:pPr>
        <w:pStyle w:val="Heading1"/>
      </w:pPr>
      <w:r>
        <w:t>3. Research Objectives</w:t>
      </w:r>
    </w:p>
    <w:p>
      <w:r>
        <w:t>To quantify forest degradation associated with the Rohingya influx, predict future forest-cover change under a business-as-usual scenario, and estimate associated loss of ecosystem function through above-ground biomass and carbon-stock decline.</w:t>
      </w:r>
    </w:p>
    <w:p>
      <w:pPr>
        <w:pStyle w:val="Heading1"/>
      </w:pPr>
      <w:r>
        <w:t>4. Research Questions</w:t>
      </w:r>
    </w:p>
    <w:p>
      <w:r>
        <w:t>How much forest cover was converted to camps or Rohingya-influenced degraded forest during 2017–2019? How would forest cover, biomass and carbon change by 2023 and 2027 if present deforestation dynamics continue? What are the implications for ecosystem function and conservation in an ecologically critical area?</w:t>
      </w:r>
    </w:p>
    <w:p>
      <w:pPr>
        <w:pStyle w:val="Heading1"/>
      </w:pPr>
      <w:r>
        <w:t>5. Study Area</w:t>
      </w:r>
    </w:p>
    <w:p>
      <w:r>
        <w:t>Cox’s Bazar–Teknaf Peninsula, Bangladesh. Geographic extent approximately 92°17′E–92°12′E, 20°50′N–21°19′N; area about 41,162 ha. Includes Teknaf Wildlife Sanctuary (~11,615 ha), proposed Inani National Park / reserve forest (~15,500 ha) and other reserve forest (~6,365 ha); ~71% of the study area is critical ecosystem.</w:t>
      </w:r>
    </w:p>
    <w:p>
      <w:pPr>
        <w:pStyle w:val="Heading1"/>
      </w:pPr>
      <w:r>
        <w:t>6. Forest Administrative Units</w:t>
      </w:r>
    </w:p>
    <w:p>
      <w:r>
        <w:t>23 forest beats within the Cox’s Bazar South Forest Division, plus a portion of Naikhongchhari beat in Bandarban Forest Division. Bangladesh Forest Department administrative units were used because most refugee camps were established within the South Forest Division. Three upazilas and 24 beats are referenced within the study area.</w:t>
      </w:r>
    </w:p>
    <w:p>
      <w:pPr>
        <w:pStyle w:val="Heading1"/>
      </w:pPr>
      <w:r>
        <w:t>7. Study Period</w:t>
      </w:r>
    </w:p>
    <w:p>
      <w:r>
        <w:t>Observed LULC comparison: 2017–2019. Prediction years: 2023 and 2027. Field survey: February 2018.</w:t>
      </w:r>
    </w:p>
    <w:p>
      <w:pPr>
        <w:pStyle w:val="Heading1"/>
      </w:pPr>
      <w:r>
        <w:t>8. Satellite Image Dates</w:t>
      </w:r>
    </w:p>
    <w:p>
      <w:r>
        <w:t>Sentinel-2A image dates from Table 1:</w:t>
        <w:br/>
        <w:t>2017-02-18</w:t>
        <w:br/>
        <w:t>2018-02-18</w:t>
        <w:br/>
        <w:t>2019-02-13</w:t>
        <w:br/>
        <w:t>All winter-season scenes representing pre- and post-influx conditions.</w:t>
      </w:r>
    </w:p>
    <w:p>
      <w:pPr>
        <w:pStyle w:val="Heading1"/>
      </w:pPr>
      <w:r>
        <w:t>9. Sentinel-2A Data</w:t>
      </w:r>
    </w:p>
    <w:p>
      <w:r>
        <w:t>Sentinel-2A Level 1C (10 m). Atmospheric correction with SEN2COR to surface reflectance. Projected to WGS 1984 UTM Zone 46N. Geometric correction RMSE &lt; 1 pixel accepted.</w:t>
      </w:r>
    </w:p>
    <w:p>
      <w:pPr>
        <w:pStyle w:val="Heading1"/>
      </w:pPr>
      <w:r>
        <w:t>10. Ancillary and Collateral Data</w:t>
      </w:r>
    </w:p>
    <w:p>
      <w:r>
        <w:t>RapidEye (2015–2016, 5 m); WorldView-2 (2011–2013, 2 m); Google Earth (2017–2019); UNHCR UAV imagery (~10 cm); SRTM DEM (30 m); Survey of Bangladesh administrative boundaries; BFD forest-beat boundaries; UNHCR refugee-camp polygons; human trails from UAV/Google Earth; IOM &amp; FAO (2017) aboveground biomass inventory (57 subplots).</w:t>
      </w:r>
    </w:p>
    <w:p>
      <w:pPr>
        <w:pStyle w:val="Heading1"/>
      </w:pPr>
      <w:r>
        <w:t>11. Image Preprocessing</w:t>
      </w:r>
    </w:p>
    <w:p>
      <w:r>
        <w:t>TOA to surface reflectance via SEN2COR; UTM 46N projection; clip to study-area boundary; RapidEye geometrically corrected with GPS ground-control points from fieldwork.</w:t>
      </w:r>
    </w:p>
    <w:p>
      <w:pPr>
        <w:pStyle w:val="Heading1"/>
      </w:pPr>
      <w:r>
        <w:t>12. LULC Classes</w:t>
      </w:r>
    </w:p>
    <w:p>
      <w:r>
        <w:t>Fourteen LULC categories (modified Anderson Level 1; Table 2):</w:t>
        <w:br/>
        <w:t>1. Agriculture (AC)</w:t>
        <w:br/>
        <w:t>2. Saltpan (SP)</w:t>
        <w:br/>
        <w:t>3. Urban (UB)</w:t>
        <w:br/>
        <w:t>4. Homestead vegetation (HS)</w:t>
        <w:br/>
        <w:t>5. Brick kiln (BK)</w:t>
        <w:br/>
        <w:t>6. Shrubs (SH)</w:t>
        <w:br/>
        <w:t>7. Mixed forest (MF)</w:t>
        <w:br/>
        <w:t>8. Plantation forest / planted young forest (PT)</w:t>
        <w:br/>
        <w:t>9. Canopy forest (CF)</w:t>
        <w:br/>
        <w:t>10. Casuarina (CR)</w:t>
        <w:br/>
        <w:t>11. Rohingya camps (CA)</w:t>
        <w:br/>
        <w:t>12. Degraded forest (DF)</w:t>
        <w:br/>
        <w:t>13. Creeks and streams</w:t>
        <w:br/>
        <w:t>14. Waterbodies</w:t>
        <w:br/>
        <w:br/>
        <w:t>Degraded forest criteria: (a) former forest pixels transformed to barren / exposed topsoil; (b) patches containing dead grass.</w:t>
      </w:r>
    </w:p>
    <w:p>
      <w:pPr>
        <w:pStyle w:val="Heading1"/>
      </w:pPr>
      <w:r>
        <w:t>13. Training Samples</w:t>
      </w:r>
    </w:p>
    <w:p>
      <w:r>
        <w:t>Training signatures developed from the Table 2 class criteria using a hybrid unsupervised/supervised workflow. ISODATA used to derive signatures; transform divergence ≥ 1900 accepted. Reference support from RapidEye, WorldView-2 and Google Earth. Exact per-class training counts are not separately tabulated beyond the signature-development workflow.</w:t>
      </w:r>
    </w:p>
    <w:p>
      <w:pPr>
        <w:pStyle w:val="Heading1"/>
      </w:pPr>
      <w:r>
        <w:t>14. Classification Method</w:t>
      </w:r>
    </w:p>
    <w:p>
      <w:r>
        <w:t>Hybrid approach: ISODATA unsupervised signature generation followed by Maximum Likelihood supervised classification, with post-classification refinement to correct mixed pixels (notably shrubs vs agriculture; mixed forest vs canopy; canopy vs homestead vegetation).</w:t>
      </w:r>
    </w:p>
    <w:p>
      <w:pPr>
        <w:pStyle w:val="Heading1"/>
      </w:pPr>
      <w:r>
        <w:t>15. Accuracy Assessment</w:t>
      </w:r>
    </w:p>
    <w:p>
      <w:r>
        <w:t>100 stratified-random points per LULC class from high-resolution reference imagery.</w:t>
        <w:br/>
        <w:t>2017 overall accuracy: 86.85%; kappa: 0.86</w:t>
        <w:br/>
        <w:t>2018 overall accuracy: 89.12%; kappa: 0.88</w:t>
        <w:br/>
        <w:t>2019 overall accuracy: 91.45%; kappa: 0.91</w:t>
        <w:br/>
        <w:t>Producer’s and user’s accuracies computed from error matrices (class-level tables in supplementary materials).</w:t>
      </w:r>
    </w:p>
    <w:p>
      <w:pPr>
        <w:pStyle w:val="Heading1"/>
      </w:pPr>
      <w:r>
        <w:t>16. Change-Detection Method</w:t>
      </w:r>
    </w:p>
    <w:p>
      <w:r>
        <w:t>Post-classification categorical change detection for 2017–2018, 2018–2019 and 2017–2019, including from–to conversion analysis and spatial-trend mapping of camp-proximate impacts.</w:t>
      </w:r>
    </w:p>
    <w:p>
      <w:pPr>
        <w:pStyle w:val="Heading1"/>
      </w:pPr>
      <w:r>
        <w:t>17. Forest-Degradation Categories</w:t>
      </w:r>
    </w:p>
    <w:p>
      <w:r>
        <w:t>Primary degradation outcomes: conversion of shrubs, mixed forest, plantation forest and canopy forest into Rohingya camps (CA) and degraded forest (DF).</w:t>
      </w:r>
    </w:p>
    <w:p>
      <w:pPr>
        <w:pStyle w:val="Heading1"/>
      </w:pPr>
      <w:r>
        <w:t>18. Drivers and Multi-Criteria Factors</w:t>
      </w:r>
    </w:p>
    <w:p>
      <w:r>
        <w:t>Multi-criteria evaluation incorporating population density, physiography, accessibility and related dynamic stressors/stimuli (Table 3) to generate transition suitability maps for CA–Markov modelling.</w:t>
      </w:r>
    </w:p>
    <w:p>
      <w:pPr>
        <w:pStyle w:val="Heading1"/>
      </w:pPr>
      <w:r>
        <w:t>19. CA–Markov Model</w:t>
      </w:r>
    </w:p>
    <w:p>
      <w:r>
        <w:t>Cellular Automata–Markov chain modelling using 2017–2019 transition probabilities and multi-criteria suitability surfaces to predict LULC for 2023 and 2027 under a business-as-usual continuation scenario.</w:t>
      </w:r>
    </w:p>
    <w:p>
      <w:pPr>
        <w:pStyle w:val="Heading1"/>
      </w:pPr>
      <w:r>
        <w:t>20. Model Calibration</w:t>
      </w:r>
    </w:p>
    <w:p>
      <w:r>
        <w:t>Calibrated by simulating 2019 LULC from 2017/2018 observed LULC and driver factors, then comparing simulated versus actual 2019 LULC.</w:t>
      </w:r>
    </w:p>
    <w:p>
      <w:pPr>
        <w:pStyle w:val="Heading1"/>
      </w:pPr>
      <w:r>
        <w:t>21. Model Validation</w:t>
      </w:r>
    </w:p>
    <w:p>
      <w:r>
        <w:t>2019 simulated vs observed: overall accuracy 86.21%; kappa 0.85. Poorer agreement for mixed forest and degraded forest; better agreement for agriculture, urban and homestead vegetation. Kappa index of agreement/disagreement also considered (Pontius &amp; Millones, 2011).</w:t>
      </w:r>
    </w:p>
    <w:p>
      <w:pPr>
        <w:pStyle w:val="Heading1"/>
      </w:pPr>
      <w:r>
        <w:t>22. 2023 Prediction</w:t>
      </w:r>
    </w:p>
    <w:p>
      <w:r>
        <w:t>Under continuation of 2017–2019 dynamics, degraded forest increases by approximately 3,080.1 ha relative to 2019 (Table 5). Shrubs decline from 7,306 ha (2019) to about 5,800 ha (2023).</w:t>
      </w:r>
    </w:p>
    <w:p>
      <w:pPr>
        <w:pStyle w:val="Heading1"/>
      </w:pPr>
      <w:r>
        <w:t>23. 2027 Prediction</w:t>
      </w:r>
    </w:p>
    <w:p>
      <w:r>
        <w:t>Degraded forest increases by approximately 5,119.02 ha relative to 2019 (Table 5). Abstract rounds to ~5,115 ha; discussion text rounds to ~5,120 ha. Shrubs fall to about 4,871 ha; mixed forest and canopy forest continue to decline.</w:t>
      </w:r>
    </w:p>
    <w:p>
      <w:pPr>
        <w:pStyle w:val="Heading1"/>
      </w:pPr>
      <w:r>
        <w:t>24. Above-Ground Biomass Method</w:t>
      </w:r>
    </w:p>
    <w:p>
      <w:r>
        <w:t>AGB densities from IOM &amp; FAO (2017) inventory: 57 subplots within 15 major plots covering 6.48 ha. Four forest classes used: shrubs, mixed forest, planted/plantation forest, canopy forest. Aggregation on a 100 × 100 m grid. Author manuscript states AGB (ha) values of 2; 17,003; 2; and 180,038 kg for shrubs, mixed forest, planted forest and canopy forest, respectively. Canopy maximum of 180,038 kg AGB per fully forested 1 ha grid is consistent with the stated grid maximum. Shrubs/plantation values of 2 kg ha⁻¹ appear anomalously low and are flagged as a possible preprint/transcription issue.</w:t>
      </w:r>
    </w:p>
    <w:p>
      <w:pPr>
        <w:pStyle w:val="Heading1"/>
      </w:pPr>
      <w:r>
        <w:t>25. Carbon-Stock Method</w:t>
      </w:r>
    </w:p>
    <w:p>
      <w:r>
        <w:t>Carbon = AGB / 2 (Ahmed et al., 2019). Maximum canopy carbon per grid = 90,019 kg.</w:t>
        <w:br/>
        <w:t>Table 7 total carbon stocks (tons):</w:t>
        <w:br/>
        <w:t>2017: 221,841</w:t>
        <w:br/>
        <w:t>2018: 203,998</w:t>
        <w:br/>
        <w:t>2019: 194,238</w:t>
        <w:br/>
        <w:t>2023: 168,239</w:t>
        <w:br/>
        <w:t>2027: 149,919</w:t>
        <w:br/>
        <w:t>Implied release: ~27,600 tons (2017–2019); ~71,920 tons (2017–2027 projection).</w:t>
      </w:r>
    </w:p>
    <w:p>
      <w:pPr>
        <w:pStyle w:val="Heading1"/>
      </w:pPr>
      <w:r>
        <w:t>26. Ecosystem-Function Interpretation</w:t>
      </w:r>
    </w:p>
    <w:p>
      <w:r>
        <w:t>Forest-cover conversion is interpreted as loss of ecosystem function via AGB and carbon-stock decline, habitat fragmentation for Asian elephant corridors, and local climatic effects (including cited LST increase).</w:t>
      </w:r>
    </w:p>
    <w:p>
      <w:pPr>
        <w:pStyle w:val="Heading1"/>
      </w:pPr>
      <w:r>
        <w:t>27. Main Forest-Loss Findings</w:t>
      </w:r>
    </w:p>
    <w:p>
      <w:r>
        <w:t>Approximately 3,130 ha of different forest-cover categories were transformed into refugee camps or Rohingya-influenced degraded forest between 2017 and 2019. Mixed forest declined from 10,593 ha (2017) to 9,303 ha (2019). Camps rose from 78 ha to 1,968 ha; degraded forest from 1,862 ha to 3,792 ha. Shrubs reduced by ~1,495 ha and mixed forest by ~1,289 ha over 2017–2019.</w:t>
      </w:r>
    </w:p>
    <w:p>
      <w:pPr>
        <w:pStyle w:val="Heading1"/>
      </w:pPr>
      <w:r>
        <w:t>28. Camp and Degraded-Forest Conversion</w:t>
      </w:r>
    </w:p>
    <w:p>
      <w:r>
        <w:t>Camps increased by ~1,889 ha and degraded forest by ~1,929 ha during 2017–2019. Early (2017–2018) conversions drew from agriculture, homestead vegetation and multiple forest classes; later (2018–2019) degradation concentrated in shrubs, mixed, plantation and canopy forests.</w:t>
      </w:r>
    </w:p>
    <w:p>
      <w:pPr>
        <w:pStyle w:val="Heading1"/>
      </w:pPr>
      <w:r>
        <w:t>29. Biomass-Loss Findings</w:t>
      </w:r>
    </w:p>
    <w:p>
      <w:r>
        <w:t>AGB declined spatially between 2017 and 2019, with mixed forest showing the most severe biomass loss followed by canopy forest. Projected maps indicate further AGB decline under business-as-usual conditions through 2027.</w:t>
      </w:r>
    </w:p>
    <w:p>
      <w:pPr>
        <w:pStyle w:val="Heading1"/>
      </w:pPr>
      <w:r>
        <w:t>30. Carbon-Loss Findings</w:t>
      </w:r>
    </w:p>
    <w:p>
      <w:r>
        <w:t>About 27,600 tons of carbon may have been released during 2017–2019. Under continuation, cumulative release from 2017 to 2027 is about 71,920 tons. Total carbon stock falls from 221,841 t (2017) to 194,238 t (2019) and 149,919 t (2027 projected).</w:t>
      </w:r>
    </w:p>
    <w:p>
      <w:pPr>
        <w:pStyle w:val="Heading1"/>
      </w:pPr>
      <w:r>
        <w:t>31. Protected and Sensitive Forest Impacts</w:t>
      </w:r>
    </w:p>
    <w:p>
      <w:r>
        <w:t>Impacts concentrate in and around camps within Teknaf Wildlife Sanctuary and Inani reserve/proposed national park landscapes. Pre-influx forest loss already existed along these protected areas; post-influx degraded forest expanded substantially.</w:t>
      </w:r>
    </w:p>
    <w:p>
      <w:pPr>
        <w:pStyle w:val="Heading1"/>
      </w:pPr>
      <w:r>
        <w:t>32. Wildlife and Ecosystem Implications</w:t>
      </w:r>
    </w:p>
    <w:p>
      <w:r>
        <w:t>Fragmentation of forest patches is linked to restricted Asian elephant (Elephas maximus) movement along corridors connecting Teknaf–Shilkhali–Whykong–Inani–Ukhiya–Ghundhum–Myanmar and related routes. Habitat integrity and ecosystem services are described as deteriorating.</w:t>
      </w:r>
    </w:p>
    <w:p>
      <w:pPr>
        <w:pStyle w:val="Heading1"/>
      </w:pPr>
      <w:r>
        <w:t>33. Authors’ Interpretation</w:t>
      </w:r>
    </w:p>
    <w:p>
      <w:r>
        <w:t>Camp establishment, fuelwood collection and illegal logging drove rapid forest degradation and ecosystem-function loss. Predictions assume continued residence of displaced populations and persistence of recent transition dynamics. Conservation interventions are urgently needed.</w:t>
      </w:r>
    </w:p>
    <w:p>
      <w:pPr>
        <w:pStyle w:val="Heading1"/>
      </w:pPr>
      <w:r>
        <w:t>34. Policy Implications</w:t>
      </w:r>
    </w:p>
    <w:p>
      <w:r>
        <w:t>Findings support conservation decisions, priority interventions and public policies to protect ecologically critical areas, reduce fuelwood pressure and limit further conversion of sensitive forest beats.</w:t>
      </w:r>
    </w:p>
    <w:p>
      <w:pPr>
        <w:pStyle w:val="Heading1"/>
      </w:pPr>
      <w:r>
        <w:t>35. Author-Stated Limitations</w:t>
      </w:r>
    </w:p>
    <w:p>
      <w:r>
        <w:t>Lack of cloud-free optical imagery constrained seasonal analysis; authors recommend microwave/radar data for monsoon-season assessment. Rohingya population growth rate was not included in the dynamic model. Secondary AGB data may under-/over-estimate actual biomass; field biomass work was noted as ongoing.</w:t>
      </w:r>
    </w:p>
    <w:p>
      <w:pPr>
        <w:pStyle w:val="Heading1"/>
      </w:pPr>
      <w:r>
        <w:t>36. Limitations Identified by Us</w:t>
      </w:r>
    </w:p>
    <w:p>
      <w:r>
        <w:t>The observed forest-change analysis covers only 2017–2019, providing a very short empirical period.</w:t>
        <w:br/>
        <w:br/>
        <w:t>The CA–Markov predictions assume continuation of historical transition probabilities and selected driving factors; they are scenario projections rather than causal forecasts.</w:t>
        <w:br/>
        <w:br/>
        <w:t>Future refugee population, policy interventions, LPG adoption, fencing, restoration, camp consolidation and economic change may invalidate the business-as-usual transition structure.</w:t>
        <w:br/>
        <w:br/>
        <w:t>Cloud-free imagery availability constrained seasonal analysis.</w:t>
        <w:br/>
        <w:br/>
        <w:t>The study relied on optical imagery and could not assess monsoon-season conditions; the authors recommend radar data for future work.</w:t>
        <w:br/>
        <w:br/>
        <w:t>Biomass and carbon estimates are model-derived rather than validated with extensive camp-area field plots.</w:t>
        <w:br/>
        <w:br/>
        <w:t>No counterfactual donor/control landscape was used.</w:t>
        <w:br/>
        <w:br/>
        <w:t>No SDID, event study, spatial-interference analysis or causal attribution was performed.</w:t>
        <w:br/>
        <w:br/>
        <w:t>No formal patch, connectivity, core-area or edge-fragmentation metrics were calculated (fragmentation is discussed qualitatively).</w:t>
        <w:br/>
        <w:br/>
        <w:t>Classification, transition-model and biomass uncertainties were not propagated jointly into the final carbon-loss estimates.</w:t>
        <w:br/>
        <w:br/>
        <w:t>The model does not use SHAP or another explainable-driver framework.</w:t>
        <w:br/>
        <w:br/>
        <w:t>Author-stated AGB densities of 2 kg ha⁻¹ for shrubs and plantation forest appear anomalous relative to canopy (180,038 kg ha⁻¹) and should be treated cautiously.</w:t>
      </w:r>
    </w:p>
    <w:p>
      <w:pPr>
        <w:pStyle w:val="Heading1"/>
      </w:pPr>
      <w:r>
        <w:t>37. Numerical and Terminological Issues</w:t>
      </w:r>
    </w:p>
    <w:p>
      <w:r>
        <w:t>Final issue year is 2021 although the paper was accepted and first published online in 2020; matrix Year set to 2021 with Online first: 2020 noted.</w:t>
        <w:br/>
        <w:br/>
        <w:t>Predicted 2027 degraded-forest increase is reported as ~5,115 ha (abstract), 5,119.02 ha (Table 5) and ~5,120 ha (discussion).</w:t>
        <w:br/>
        <w:br/>
        <w:t>Kappa values are sometimes written with a percent sign in the manuscript text (e.g., 0.86%) though they are coefficients.</w:t>
        <w:br/>
        <w:br/>
        <w:t>Shrubs/plantation AGB densities of 2 kg ha⁻¹ in the author manuscript appear inconsistent with the canopy density and with ecological expectations.</w:t>
      </w:r>
    </w:p>
    <w:p>
      <w:pPr>
        <w:pStyle w:val="Heading1"/>
      </w:pPr>
      <w:r>
        <w:t>38. Relevance to Our Research</w:t>
      </w:r>
    </w:p>
    <w:p>
      <w:r>
        <w:t>Very High. P010 is one of the closest existing integrated studies linking Rohingya-related forest degradation, future projection and above-ground biomass/carbon-stock loss in Cox’s Bazar–Teknaf. It informs ecosystem-function framing but is not a causal counterfactual design.</w:t>
      </w:r>
    </w:p>
    <w:p>
      <w:pPr>
        <w:pStyle w:val="Heading1"/>
      </w:pPr>
      <w:r>
        <w:t>39. Research Gap</w:t>
      </w:r>
    </w:p>
    <w:p>
      <w:r>
        <w:t>P010 integrates forest degradation, CA–Markov prediction, above-ground biomass and carbon-stock loss, making it one of the closest existing studies to the proposed integrated framework. However, it is based on a short 2017–2019 observed period and business-as-usual scenario projection rather than a long annual historical panel or causal counterfactual.</w:t>
        <w:br/>
        <w:br/>
        <w:t>The proposed research will extend this work through annual 2001–2025 forest outcomes, formal fragmentation metrics, spatially explicit ESA CCI/GEDI-supported above-ground carbon accounting, SDID causal attribution, time-varying camp exposure, measurement-uncertainty propagation and SHAP-based driver analysis.</w:t>
      </w:r>
    </w:p>
    <w:p>
      <w:pPr>
        <w:pStyle w:val="Heading1"/>
      </w:pPr>
      <w:r>
        <w:t>40. Comparison with P005</w:t>
      </w:r>
    </w:p>
    <w:p>
      <w:r>
        <w:t>P005 (Mahmood et al., 2025) provides field-based biomass/carbon estimates for restored camp-affected blocks. P010 provides landscape-scale, inventory-parameterized AGB/carbon change and projections for 2017–2027. P005 is stronger for restoration-plot parameterization; P010 is stronger for peninsula-wide degradation and carbon-loss framing.</w:t>
      </w:r>
    </w:p>
    <w:p>
      <w:pPr>
        <w:pStyle w:val="Heading1"/>
      </w:pPr>
      <w:r>
        <w:t>41. Comparison with P004</w:t>
      </w:r>
    </w:p>
    <w:p>
      <w:r>
        <w:t>P004 (Rahaman et al., 2022) focuses on ML-based monitoring/prediction of forest degradation around camps (partial review due to access). P010 adds explicit AGB/carbon-stock accounting and CA–Markov multi-criteria prediction for 2023/2027, with a short 2017–2019 observed window similar in spirit but richer in ecosystem-function quantification.</w:t>
      </w:r>
    </w:p>
    <w:p>
      <w:pPr>
        <w:pStyle w:val="Heading1"/>
      </w:pPr>
      <w:r>
        <w:t>42. Planned Use in Literature Review</w:t>
      </w:r>
    </w:p>
    <w:p>
      <w:r>
        <w:t>As a major integrated predecessor for forest-degradation + biomass/carbon + prediction. Used to motivate separating prediction from causal attribution (Decision 013) and to benchmark short-period empirical estimates against the proposed long-panel SDID design.</w:t>
      </w:r>
    </w:p>
    <w:p>
      <w:pPr>
        <w:pStyle w:val="Heading1"/>
      </w:pPr>
      <w:r>
        <w:t>43. Important Tables and Figures</w:t>
      </w:r>
    </w:p>
    <w:p>
      <w:r>
        <w:t>Table 1 data sources and Sentinel dates; Table 2 LULC scheme; Table 3 driver factors; Table 4 population–LULC correlations; Table 5 predicted 2023/2027 areas; Table 7 carbon stocks 2017–2027; Figures 2–8 LULC, Sankey, spatial trend, CA–Markov validation, predictions and biomass-loss maps; supplementary area and conversion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