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P011 — Full-Text Extraction</w:t>
      </w:r>
    </w:p>
    <w:p>
      <w:pPr>
        <w:pStyle w:val="Heading2"/>
      </w:pPr>
      <w:r>
        <w:t>1. Verified Citation</w:t>
      </w:r>
    </w:p>
    <w:p>
      <w:r>
        <w:t>Sarkar, S. K., Saroar, M., &amp; Chakraborty, T. (2023). Navigating nature’s toll: Assessing the ecological impact of the refugee crisis in Cox’s Bazar, Bangladesh. Heliyon, 9(7), e18255. https://doi.org/10.1016/j.heliyon.2023.e18255</w:t>
      </w:r>
    </w:p>
    <w:p>
      <w:r>
        <w:t>Authors (full manuscript): Showmitra Kumar Sarkar; Mustafa Saroar; Tanmoy Chakraborty.</w:t>
        <w:br/>
        <w:t>Affiliation: Department of Urban and Regional Planning, Khulna University of Engineering &amp; Technology (KUET), Khulna, 9203, Bangladesh.</w:t>
        <w:br/>
        <w:t>PMC: PMC10368913. PMID: 37501996.</w:t>
      </w:r>
    </w:p>
    <w:p>
      <w:pPr>
        <w:pStyle w:val="Heading2"/>
      </w:pPr>
      <w:r>
        <w:t>2. Publication Status</w:t>
      </w:r>
    </w:p>
    <w:p>
      <w:r>
        <w:t>Open Access research article under CC BY 4.0.</w:t>
        <w:br/>
        <w:t>Received 6 April 2023; Revised 6 July 2023; Accepted 12 July 2023; Available online 13 July 2023.</w:t>
        <w:br/>
        <w:t>Collection date: July 2023. Volume 9, Issue 7, article e18255.</w:t>
        <w:br/>
        <w:t>Peer reviewed: Yes.</w:t>
        <w:br/>
        <w:t>Full text: Official publisher/PMC PDF saved locally (16 pages; ~10.7 MB).</w:t>
      </w:r>
    </w:p>
    <w:p>
      <w:pPr>
        <w:pStyle w:val="Heading2"/>
      </w:pPr>
      <w:r>
        <w:t>3. Research Objectives</w:t>
      </w:r>
    </w:p>
    <w:p>
      <w:r>
        <w:t>Stated objectives:</w:t>
        <w:br/>
        <w:t>(1) Investigate LULC pattern changes before and after the Rohingya influx using ANN, SVM and RF.</w:t>
        <w:br/>
        <w:t>(2) Estimate ecosystem-service valuation and function changes resulting from LULC change.</w:t>
        <w:br/>
        <w:t>(3) Model ecological quality (EQ) before and after the influx using fuzzy logic, incorporating population, LST, land-use carbon emissions/absorption and ecosystem-service functions.</w:t>
      </w:r>
    </w:p>
    <w:p>
      <w:r>
        <w:t>The paper frames itself as integrating machine learning LULC classification with ESV and fuzzy EQ assessment for the Rohingya crisis context.</w:t>
      </w:r>
    </w:p>
    <w:p>
      <w:pPr>
        <w:pStyle w:val="Heading2"/>
      </w:pPr>
      <w:r>
        <w:t>4. Study Area</w:t>
      </w:r>
    </w:p>
    <w:p>
      <w:r>
        <w:t>Ukhiya and Teknaf Upazilas, Cox’s Bazar District, Bangladesh — the two upazilas containing most Rohingya camps.</w:t>
        <w:br/>
        <w:t>Total mapped area: 57,307.25 ha (Table 3).</w:t>
        <w:br/>
        <w:t>Authors emphasise Cox’s Bazar coastal vulnerability and concentration of camps in Teknaf and Ukhiya.</w:t>
      </w:r>
    </w:p>
    <w:p>
      <w:pPr>
        <w:pStyle w:val="Heading2"/>
      </w:pPr>
      <w:r>
        <w:t>5. Study Period and Image Dates</w:t>
      </w:r>
    </w:p>
    <w:p>
      <w:r>
        <w:t>Pre/post LULC comparison using two Sentinel dates labelled by authors as:</w:t>
        <w:br/>
        <w:t>• Before influx: 25 August 2017</w:t>
        <w:br/>
        <w:t>• After influx: 20 March 2021</w:t>
      </w:r>
    </w:p>
    <w:p>
      <w:r>
        <w:t>LST comparison: Landsat 8 OLI series for 2017 and 2021 (path/row 139/43).</w:t>
      </w:r>
    </w:p>
    <w:p>
      <w:r>
        <w:t>Critical baseline note: 25 August 2017 coincides with the start of the major 2017 displacement and is not an uncontaminated long pre-treatment baseline. Images are also seasonally mismatched (August vs March).</w:t>
      </w:r>
    </w:p>
    <w:p>
      <w:pPr>
        <w:pStyle w:val="Heading2"/>
      </w:pPr>
      <w:r>
        <w:t>6. Sentinel-2A/2B Data</w:t>
      </w:r>
    </w:p>
    <w:p>
      <w:r>
        <w:t>High-resolution multispectral Sentinel-2A and Sentinel-2B imagery.</w:t>
        <w:br/>
        <w:t>Visible and NIR bands used at 10 m spatial resolution for large-scale land-cover mapping.</w:t>
        <w:br/>
        <w:t>Two-date supervised classification for 2017 and 2021.</w:t>
      </w:r>
    </w:p>
    <w:p>
      <w:pPr>
        <w:pStyle w:val="Heading2"/>
      </w:pPr>
      <w:r>
        <w:t>7. Landsat 8 and LST Data</w:t>
      </w:r>
    </w:p>
    <w:p>
      <w:r>
        <w:t>Landsat 8 OLI/TIR imagery (USGS EarthExplorer), path/row 139/43, for 2017 and 2021 LST estimation.</w:t>
        <w:br/>
        <w:t>LST derived using mono-window / emissivity approaches referenced in Methods; used as an EQ model input after fuzzy transformation (‘large’ membership).</w:t>
        <w:br/>
        <w:t>Discussion notes associated LST increase with deforestation (citing related camp-area studies; authors also refer to ~1 °C LST rise in the broader discussion of impacts).</w:t>
      </w:r>
    </w:p>
    <w:p>
      <w:pPr>
        <w:pStyle w:val="Heading2"/>
      </w:pPr>
      <w:r>
        <w:t>8. WorldView-2 Reference Data</w:t>
      </w:r>
    </w:p>
    <w:p>
      <w:r>
        <w:t>WorldView-2 imagery at 0.5 m spatial resolution used to select 600 random reference locations for LULC training/testing.</w:t>
      </w:r>
    </w:p>
    <w:p>
      <w:pPr>
        <w:pStyle w:val="Heading2"/>
      </w:pPr>
      <w:r>
        <w:t>9. Field Validation</w:t>
      </w:r>
    </w:p>
    <w:p>
      <w:r>
        <w:t>Sample sites validated through field-based observations and surveys (combined with WorldView-2 interpretation).</w:t>
        <w:br/>
        <w:t>Exact field-plot protocols and dates are not fully tabulated in the main text.</w:t>
      </w:r>
    </w:p>
    <w:p>
      <w:pPr>
        <w:pStyle w:val="Heading2"/>
      </w:pPr>
      <w:r>
        <w:t>10. Training and Testing Split</w:t>
      </w:r>
    </w:p>
    <w:p>
      <w:r>
        <w:t>Total reference locations: 600</w:t>
        <w:br/>
        <w:t>Training: 480 (80%)</w:t>
        <w:br/>
        <w:t>Testing: 120 (20%)</w:t>
        <w:br/>
        <w:t>Split drawn from a common 600-location pool; independent temporal/spatial holdout beyond this split is not demonstrated.</w:t>
      </w:r>
    </w:p>
    <w:p>
      <w:pPr>
        <w:pStyle w:val="Heading2"/>
      </w:pPr>
      <w:r>
        <w:t>11. LULC Classes</w:t>
      </w:r>
    </w:p>
    <w:p>
      <w:r>
        <w:t>Four classes:</w:t>
        <w:br/>
        <w:t>1. Agriculture</w:t>
        <w:br/>
        <w:t>2. Forest</w:t>
        <w:br/>
        <w:t>3. Settlement</w:t>
        <w:br/>
        <w:t>4. Water</w:t>
      </w:r>
    </w:p>
    <w:p>
      <w:pPr>
        <w:pStyle w:val="Heading2"/>
      </w:pPr>
      <w:r>
        <w:t>12. Artificial Neural Network</w:t>
      </w:r>
    </w:p>
    <w:p>
      <w:r>
        <w:t>ANN with input, hidden and output layers; training iterations set to 1,000.</w:t>
        <w:br/>
        <w:t>ANN produced the highest reported overall accuracy and Kappa for both years and was selected for subsequent ESV/EQ analyses.</w:t>
      </w:r>
    </w:p>
    <w:p>
      <w:pPr>
        <w:pStyle w:val="Heading2"/>
      </w:pPr>
      <w:r>
        <w:t>13. Support Vector Machine</w:t>
      </w:r>
    </w:p>
    <w:p>
      <w:r>
        <w:t>RBF kernel SVM; soft-margin regularisation; C parameter tuned by mapping LULC with multiple values.</w:t>
      </w:r>
    </w:p>
    <w:p>
      <w:pPr>
        <w:pStyle w:val="Heading2"/>
      </w:pPr>
      <w:r>
        <w:t>14. Random Forest</w:t>
      </w:r>
    </w:p>
    <w:p>
      <w:r>
        <w:t>Ensemble tree classifier; ntree = 500; mtry = 5 after searching a range of mtry/ntree values.</w:t>
      </w:r>
    </w:p>
    <w:p>
      <w:pPr>
        <w:pStyle w:val="Heading2"/>
      </w:pPr>
      <w:r>
        <w:t>15. Model Comparison</w:t>
      </w:r>
    </w:p>
    <w:p>
      <w:r>
        <w:t>Three classifiers compared by overall accuracy and Kappa (Table 2). ANN ranked highest for both 2017 and 2021; RF second; SVM third.</w:t>
      </w:r>
    </w:p>
    <w:p>
      <w:pPr>
        <w:pStyle w:val="Heading2"/>
      </w:pPr>
      <w:r>
        <w:t>16. Accuracy Assessment</w:t>
      </w:r>
    </w:p>
    <w:p>
      <w:r>
        <w:t>Table 2 (verified):</w:t>
        <w:br/>
        <w:t>Algorithm | 2017 Kappa | 2021 Kappa | 2017 OA | 2021 OA</w:t>
        <w:br/>
        <w:t>ANN | 0.96 | 0.89 | 0.97 | 0.91</w:t>
        <w:br/>
        <w:t>Random Forest | 0.94 | 0.87 | 0.95 | 0.90</w:t>
        <w:br/>
        <w:t>SVM | 0.86 | 0.81 | 0.89 | 0.86</w:t>
      </w:r>
    </w:p>
    <w:p>
      <w:r>
        <w:t>User’s instruction table matches OA/Kappa ordering; note table column layout in PMC HTML places Kappa columns before OA columns.</w:t>
      </w:r>
    </w:p>
    <w:p>
      <w:pPr>
        <w:pStyle w:val="Heading2"/>
      </w:pPr>
      <w:r>
        <w:t>17. LULC Change Detection</w:t>
      </w:r>
    </w:p>
    <w:p>
      <w:r>
        <w:t>Post-classification comparison of ANN maps for 2017 vs 2021.</w:t>
        <w:br/>
        <w:t>Primary reported transitions: forest to settlement; some forest/water to agriculture.</w:t>
      </w:r>
    </w:p>
    <w:p>
      <w:pPr>
        <w:pStyle w:val="Heading2"/>
      </w:pPr>
      <w:r>
        <w:t>18. Ecosystem Service Valuation</w:t>
      </w:r>
    </w:p>
    <w:p>
      <w:r>
        <w:t>Benefit-transfer ESV using land-cover-specific coefficients (Costanza et al. 1997 framework as applied/adapted in Methods).</w:t>
        <w:br/>
        <w:t>Settlement assigned zero ecosystem-service value.</w:t>
        <w:br/>
        <w:t>Sixteen ecosystem-service subfunctions valued; four aggregate groups: provisioning, regulating, supporting, cultural.</w:t>
      </w:r>
    </w:p>
    <w:p>
      <w:pPr>
        <w:pStyle w:val="Heading2"/>
      </w:pPr>
      <w:r>
        <w:t>19. Benefit-Transfer Coefficients</w:t>
      </w:r>
    </w:p>
    <w:p>
      <w:r>
        <w:t>Coefficients applied by LULC type for ES subfunctions (Table 1 / Methods).</w:t>
        <w:br/>
        <w:t>Coefficients are global/literature transfer values, not locally calibrated field valuations.</w:t>
      </w:r>
    </w:p>
    <w:p>
      <w:pPr>
        <w:pStyle w:val="Heading2"/>
      </w:pPr>
      <w:r>
        <w:t>20. ESV Sensitivity Analysis</w:t>
      </w:r>
    </w:p>
    <w:p>
      <w:r>
        <w:t>Coefficient sensitivity (CS) via ±50% adjustment of ESV coefficients for each LULC type (elasticity formula).</w:t>
        <w:br/>
        <w:t>Reported CS values for agriculture, forest and water in both years were &lt; 1 (inelastic).</w:t>
        <w:br/>
        <w:t>Sensitivity does not propagate LULC classification uncertainty into ESV.</w:t>
      </w:r>
    </w:p>
    <w:p>
      <w:pPr>
        <w:pStyle w:val="Heading2"/>
      </w:pPr>
      <w:r>
        <w:t>21. Ecosystem-Service Functions</w:t>
      </w:r>
    </w:p>
    <w:p>
      <w:r>
        <w:t>Sixteen subfunctions include food production, raw material, gas/climate/disturbance regulation, water regulation/supply, waste treatment, soil formation/retention, nutrient cycling, erosion control, pollination, biodiversity, genetic resources, recreation/tourism and cultural services.</w:t>
        <w:br/>
        <w:t>Table 5: 12 of 16 subfunctions declined 2017–2021; water regulation (+12.35%), water supply (+12.17%) and pollination (+1.21%) increased.</w:t>
      </w:r>
    </w:p>
    <w:p>
      <w:pPr>
        <w:pStyle w:val="Heading2"/>
      </w:pPr>
      <w:r>
        <w:t>22. Ecological-Quality Variables</w:t>
      </w:r>
    </w:p>
    <w:p>
      <w:r>
        <w:t>Seven EQ parameters:</w:t>
        <w:br/>
        <w:t>1. Population pressure (including Rohingya)</w:t>
        <w:br/>
        <w:t>2. Land surface temperature (LST)</w:t>
        <w:br/>
        <w:t>3. Land-use carbon emissions and absorption</w:t>
        <w:br/>
        <w:t>4. Provisioning ecosystem services</w:t>
        <w:br/>
        <w:t>5. Regulating ecosystem services</w:t>
        <w:br/>
        <w:t>6. Supporting ecosystem services</w:t>
        <w:br/>
        <w:t>7. Cultural ecosystem services</w:t>
      </w:r>
    </w:p>
    <w:p>
      <w:pPr>
        <w:pStyle w:val="Heading2"/>
      </w:pPr>
      <w:r>
        <w:t>23. Fuzzy Membership Functions</w:t>
      </w:r>
    </w:p>
    <w:p>
      <w:r>
        <w:t>‘Small’ membership for the four ecosystem-function layers (low function worsens EQ).</w:t>
        <w:br/>
        <w:t>‘Large’ membership for population, LST and land-use carbon indicators (high values worsen EQ).</w:t>
        <w:br/>
        <w:t>Memberships mapped to 0–1 fuzzy-crisp layers.</w:t>
      </w:r>
    </w:p>
    <w:p>
      <w:pPr>
        <w:pStyle w:val="Heading2"/>
      </w:pPr>
      <w:r>
        <w:t>24. Fuzzy Operators and GAMMA Model</w:t>
      </w:r>
    </w:p>
    <w:p>
      <w:r>
        <w:t>Operators tested: AND, OR, GAMMA.</w:t>
        <w:br/>
        <w:t>Selected model: fuzzy GAMMA with coefficient 0.9.</w:t>
        <w:br/>
        <w:t>EQ classes: very good, good, moderate, bad, very bad.</w:t>
      </w:r>
    </w:p>
    <w:p>
      <w:pPr>
        <w:pStyle w:val="Heading2"/>
      </w:pPr>
      <w:r>
        <w:t>25. Markov Transition Matrix</w:t>
      </w:r>
    </w:p>
    <w:p>
      <w:r>
        <w:t>Markovian transition matrix + alluvial diagram for EQ class changes 2017–2021.</w:t>
        <w:br/>
        <w:t>Reported transition probabilities include:</w:t>
        <w:br/>
        <w:t>• Very good → bad/very bad: 24.2%</w:t>
        <w:br/>
        <w:t>• Moderate → good: 61%</w:t>
        <w:br/>
        <w:t>• Bad → moderate: 73%</w:t>
        <w:br/>
        <w:t>• Very bad → bad: 74%</w:t>
        <w:br/>
        <w:t>Area transitions: 133.67 km² of very-good EQ moved to other conditions; bad and very-bad categories expanded (+64.03 km² and +18 km²).</w:t>
      </w:r>
    </w:p>
    <w:p>
      <w:pPr>
        <w:pStyle w:val="Heading2"/>
      </w:pPr>
      <w:r>
        <w:t>26. LULC Findings</w:t>
      </w:r>
    </w:p>
    <w:p>
      <w:r>
        <w:t>Table 3 (ANN-selected maps):</w:t>
        <w:br/>
        <w:t>Class | 2017 ha | 2021 ha | Change ha</w:t>
        <w:br/>
        <w:t>Agriculture | 11,711.33 | 11,853.41 | +142.08</w:t>
        <w:br/>
        <w:t>Forest | 24,982.31 | 19,494.30 | −5,488.01</w:t>
        <w:br/>
        <w:t>Settlement | 15,614.00 | 20,339.45 | +4,725.45</w:t>
        <w:br/>
        <w:t>Water | 4,999.61 | 5,620.09 | +620.48</w:t>
        <w:br/>
        <w:t>Total | 57,307.25 | 57,307.25 |</w:t>
      </w:r>
    </w:p>
    <w:p>
      <w:r>
        <w:t>Forest share: 43.59% → 34.02% (−9.58 percentage points).</w:t>
        <w:br/>
        <w:t>Settlement share: 27.25% → 35.49% (+8.25 points).</w:t>
      </w:r>
    </w:p>
    <w:p>
      <w:pPr>
        <w:pStyle w:val="Heading2"/>
      </w:pPr>
      <w:r>
        <w:t>27. Forest-Loss Findings</w:t>
      </w:r>
    </w:p>
    <w:p>
      <w:r>
        <w:t>Forest decreased by 5,488.01 ha (24,982.31 → 19,494.30 ha).</w:t>
        <w:br/>
        <w:t>Authors attribute conversion primarily to settlement expansion linked to refugee camps and associated pressures (fuelwood, hillside occupation).</w:t>
      </w:r>
    </w:p>
    <w:p>
      <w:pPr>
        <w:pStyle w:val="Heading2"/>
      </w:pPr>
      <w:r>
        <w:t>28. Settlement-Expansion Findings</w:t>
      </w:r>
    </w:p>
    <w:p>
      <w:r>
        <w:t>Settlement increased by 4,725.45 ha (15,614.00 → 20,339.45 ha).</w:t>
        <w:br/>
        <w:t>Described as mainly Rohingya camp expansion and associated settlement growth.</w:t>
      </w:r>
    </w:p>
    <w:p>
      <w:pPr>
        <w:pStyle w:val="Heading2"/>
      </w:pPr>
      <w:r>
        <w:t>29. Ecosystem-Service Findings</w:t>
      </w:r>
    </w:p>
    <w:p>
      <w:r>
        <w:t>Total ESV: US$67.83 million (2017) → US$67.78 million (2021) — nearly unchanged in aggregate.</w:t>
        <w:br/>
        <w:t>Forest ESV: US$24.26 → US$18.93 million (−US$5.33 million; −21.97%).</w:t>
        <w:br/>
        <w:t>Water ESV: +US$5.27 million (+12.41%).</w:t>
        <w:br/>
        <w:t>Near-constant total ESV masks compositional trade-offs: forest-service decline nearly offset by water ESV increase under benefit-transfer coefficients.</w:t>
      </w:r>
    </w:p>
    <w:p>
      <w:pPr>
        <w:pStyle w:val="Heading2"/>
      </w:pPr>
      <w:r>
        <w:t>30. Ecological-Quality Findings</w:t>
      </w:r>
    </w:p>
    <w:p>
      <w:r>
        <w:t>EQ deteriorated from favourable classes toward bad/very-bad conditions after the influx (Figs. 7–8).</w:t>
        <w:br/>
        <w:t>133.67 km² of very-good EQ transitioned away; bad/very-bad expanded.</w:t>
        <w:br/>
        <w:t>Some moderate→good transitions attributed by authors to camp relocation and possibly COVID-19 timing effects.</w:t>
      </w:r>
    </w:p>
    <w:p>
      <w:pPr>
        <w:pStyle w:val="Heading2"/>
      </w:pPr>
      <w:r>
        <w:t>31. Land-Use Carbon Indicator</w:t>
      </w:r>
    </w:p>
    <w:p>
      <w:r>
        <w:t>Land-use-specific carbon emissions and absorption coefficients used as an EQ input (not field- or biomass-inventory AGB/carbon stock accounting).</w:t>
        <w:br/>
        <w:t>Treated as Partial/Indirect carbon evidence for our matrix.</w:t>
      </w:r>
    </w:p>
    <w:p>
      <w:pPr>
        <w:pStyle w:val="Heading2"/>
      </w:pPr>
      <w:r>
        <w:t>32. Authors’ Interpretation</w:t>
      </w:r>
    </w:p>
    <w:p>
      <w:r>
        <w:t>Authors interpret forest-to-settlement conversion as a direct consequence of the Rohingya influx and camp establishment in hilly forest areas.</w:t>
        <w:br/>
        <w:t>They link forest loss to biodiversity pressure, human–elephant conflict, landslide risk and reduced ecosystem-service functions.</w:t>
        <w:br/>
        <w:t>They present the ML + ESV + fuzzy EQ combination as a novel integrated assessment for this crisis.</w:t>
      </w:r>
    </w:p>
    <w:p>
      <w:pPr>
        <w:pStyle w:val="Heading2"/>
      </w:pPr>
      <w:r>
        <w:t>33. Policy Recommendations</w:t>
      </w:r>
    </w:p>
    <w:p>
      <w:r>
        <w:t>Table 7 recommendations: sustainable land management; environmental impact assessment; ecosystem restoration; infrastructure planning with waste/water minimisation; multi-stakeholder collaboration.</w:t>
        <w:br/>
        <w:t>Conclusion stresses sustainable forest management and attention to host–refugee social tensions.</w:t>
      </w:r>
    </w:p>
    <w:p>
      <w:pPr>
        <w:pStyle w:val="Heading2"/>
      </w:pPr>
      <w:r>
        <w:t>34. Author-Stated Limitations</w:t>
      </w:r>
    </w:p>
    <w:p>
      <w:r>
        <w:t>Absence of suitable cloud-free optical data limited forest-cover depiction; authors recommend microwave/radar for monsoon-season shrub/mixed-forest regeneration assessment.</w:t>
        <w:br/>
        <w:t>Analysis limited to two time periods (before/after), which may not capture long-term complexity; broader temporal coverage recommended.</w:t>
        <w:br/>
        <w:t>Data available only on request.</w:t>
      </w:r>
    </w:p>
    <w:p>
      <w:pPr>
        <w:pStyle w:val="Heading2"/>
      </w:pPr>
      <w:r>
        <w:t>35. Limitations Identified by Us</w:t>
      </w:r>
    </w:p>
    <w:p>
      <w:r>
        <w:t>• Only two image dates — no annual trajectory, pre-trend, disturbance timing or recovery assessment.</w:t>
        <w:br/>
        <w:t>• 25 August 2017 baseline coincides with major-influx onset; not a clean pre-treatment baseline.</w:t>
        <w:br/>
        <w:t>• August 2017 vs March 2021 seasonal mismatch (phenology, moisture, agriculture).</w:t>
        <w:br/>
        <w:t>• Descriptive pre/post design without counterfactual control / SDID / spatial interference.</w:t>
        <w:br/>
        <w:t>• Common 600-sample pool split; limited independent temporal/spatial validation.</w:t>
        <w:br/>
        <w:t>• Benefit-transfer ESV not locally calibrated; settlement ESV = 0.</w:t>
        <w:br/>
        <w:t>• Aggregate ESV stability hides forest–water trade-offs.</w:t>
        <w:br/>
        <w:t>• ±50% CS test does not propagate classification uncertainty.</w:t>
        <w:br/>
        <w:t>• Fuzzy memberships, operators and GAMMA 0.9 are judgement-based without independent outcome validation.</w:t>
        <w:br/>
        <w:t>• Landsat thermal resampling to 30 m does not create new thermal spatial information.</w:t>
        <w:br/>
        <w:t>• No formal fragmentation metrics, field-validated AGB/carbon stocks, SHAP/XAI or joint uncertainty propagation.</w:t>
        <w:br/>
        <w:t>• Carbon enters only as land-use emission/absorption coefficients in EQ.</w:t>
      </w:r>
    </w:p>
    <w:p>
      <w:pPr>
        <w:pStyle w:val="Heading2"/>
      </w:pPr>
      <w:r>
        <w:t>36. Numerical and Terminological Inconsistencies</w:t>
      </w:r>
    </w:p>
    <w:p>
      <w:r>
        <w:t>Inconsistency 1 — ecosystem subfunctions:</w:t>
        <w:br/>
        <w:t>Abstract: raw-material decline 13.58%; biodiversity decline 14.57%.</w:t>
        <w:br/>
        <w:t>Table 5: raw-material ESV decline 21.97%; biodiversity ESV decline 2.29%.</w:t>
        <w:br/>
        <w:t>Synthesis should use Table 5 and note the abstract discrepancy.</w:t>
      </w:r>
    </w:p>
    <w:p>
      <w:r>
        <w:t>Inconsistency 2 — water change:</w:t>
        <w:br/>
        <w:t>Results narrative says water bodies “decreased” to 9.81%, but Table 3 shows 8.72% → 9.81% and 4,999.61 → 5,620.09 ha (+620.48 ha). Correct interpretation: increase.</w:t>
      </w:r>
    </w:p>
    <w:p>
      <w:r>
        <w:t>Design issue:</w:t>
        <w:br/>
        <w:t>25 August 2017 labelled “pre-influx” but coincides with mass-influx start.</w:t>
      </w:r>
    </w:p>
    <w:p>
      <w:pPr>
        <w:pStyle w:val="Heading2"/>
      </w:pPr>
      <w:r>
        <w:t>37. Relevance to Our Research</w:t>
      </w:r>
    </w:p>
    <w:p>
      <w:r>
        <w:t>Very High.</w:t>
        <w:br/>
        <w:t>P011 is a direct Ukhiya–Teknaf ecological-impact study combining ML LULC, ESV and fuzzy EQ.</w:t>
        <w:br/>
        <w:t>Useful predecessor for integrated ecological framing and for documenting large forest/settlement changes 2017–2021.</w:t>
        <w:br/>
        <w:t>Not a causal attribution study; ESV/EQ should be treated as supplementary indicators (Decision 014).</w:t>
      </w:r>
    </w:p>
    <w:p>
      <w:pPr>
        <w:pStyle w:val="Heading2"/>
      </w:pPr>
      <w:r>
        <w:t>38. Research Gap</w:t>
      </w:r>
    </w:p>
    <w:p>
      <w:r>
        <w:t>P011 integrates machine-learning land-cover classification, ecosystem-service valuation, land-use carbon indicators, LST and fuzzy ecological-quality assessment.</w:t>
      </w:r>
    </w:p>
    <w:p>
      <w:r>
        <w:t>However, it relies on two temporally and seasonally mismatched observations and does not provide a long annual baseline, counterfactual causal attribution, formal fragmentation metrics, field- or satellite-biomass-based carbon accounting, explainable driver analysis or propagated measurement uncertainty.</w:t>
      </w:r>
    </w:p>
    <w:p>
      <w:r>
        <w:t>The proposed research will extend this integrated ecological perspective through annual 2001–2025 outcomes, SDID attribution, annual fragmentation, spatial above-ground biomass/carbon loss, spatial-block validation, uncertainty propagation and separate SHAP-based predictive analysis.</w:t>
      </w:r>
    </w:p>
    <w:p>
      <w:pPr>
        <w:pStyle w:val="Heading2"/>
      </w:pPr>
      <w:r>
        <w:t>39. Comparison with P004 and P010</w:t>
      </w:r>
    </w:p>
    <w:p>
      <w:r>
        <w:t>vs P004 (Rahaman et al. 2022): Both use ML LULC around camps; P011 adds monetary ESV and fuzzy EQ, while P004 focuses more on LULC/ML mapping (paywalled partial in our matrix). P011’s two-date ANN comparison is broader thematically but still observational.</w:t>
      </w:r>
    </w:p>
    <w:p>
      <w:r>
        <w:t>vs P010 (Hasan et al. 2021): P010 emphasises multi-class forest degradation, CA–Markov prediction and AGB/carbon-stock loss over 2017–2019 (plus projections). P011 covers 2017–2021 with coarser four-class LULC, ESV and EQ, but without biomass inventory carbon and without forward CA–Markov forest-area projection. Complementary: P010 for biomass/carbon and degradation typology; P011 for ESV/EQ and multi-classifier ML comparison.</w:t>
      </w:r>
    </w:p>
    <w:p>
      <w:pPr>
        <w:pStyle w:val="Heading2"/>
      </w:pPr>
      <w:r>
        <w:t>40. Planned Use in Literature Review</w:t>
      </w:r>
    </w:p>
    <w:p>
      <w:r>
        <w:t>• Theme Forest and Land-Cover Change: cite 5,488.01 ha forest loss and settlement gain with ANN accuracy.</w:t>
        <w:br/>
        <w:t>• Theme Ecosystem Services / Ecological Quality: cite forest ESV decline and EQ class deterioration as supplementary ecological indicators.</w:t>
        <w:br/>
        <w:t>• Critical note: descriptive association; baseline timing and seasonality caveats; abstract vs Table 5 discrepancy; water narrative error.</w:t>
        <w:br/>
        <w:t>• Support Decision 014: ESV not primary causal outcome.</w:t>
      </w:r>
    </w:p>
    <w:p>
      <w:pPr>
        <w:pStyle w:val="Heading2"/>
      </w:pPr>
      <w:r>
        <w:t>41. Important Tables and Figures</w:t>
      </w:r>
    </w:p>
    <w:p>
      <w:r>
        <w:t>Table 2 — classifier OA/Kappa</w:t>
        <w:br/>
        <w:t>Table 3 — LULC area change</w:t>
        <w:br/>
        <w:t>Table 4 — ESV by LULC</w:t>
        <w:br/>
        <w:t>Table 5 — ESV by ecosystem function (preferred over abstract for subfunction %)</w:t>
        <w:br/>
        <w:t>Table 6 — literature statements on migration–environment</w:t>
        <w:br/>
        <w:t>Table 7 — policy recommendations</w:t>
        <w:br/>
        <w:t>Fig. 1 — study area</w:t>
        <w:br/>
        <w:t>Fig. 3 — LULC maps (ANN/RF/SVM, 2017/2021)</w:t>
        <w:br/>
        <w:t>Fig. 4 — ESV spatial distributions</w:t>
        <w:br/>
        <w:t>Figs. 5–6 — fuzzy EQ parameters</w:t>
        <w:br/>
        <w:t>Fig. 7 — EQ maps</w:t>
        <w:br/>
        <w:t>Fig. 8 — Markov heat map and alluvial EQ transitions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