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P012 — Full-Text Extraction</w:t>
      </w:r>
    </w:p>
    <w:p>
      <w:pPr>
        <w:pStyle w:val="Heading2"/>
      </w:pPr>
      <w:r>
        <w:t>1. Verified Citation</w:t>
      </w:r>
    </w:p>
    <w:p>
      <w:r>
        <w:t>APA (differentiated): Sarkar, S. K., Saroar, M. M., &amp; Chakraborty, T. (2023a). Cost of ecosystem service value due to Rohingya refugee influx in Bangladesh. Disaster Medicine and Public Health Preparedness, 17, e198. https://doi.org/10.1017/dmp.2022.125</w:t>
      </w:r>
    </w:p>
    <w:p>
      <w:r>
        <w:t>Author-year label: Sarkar et al., 2023a</w:t>
        <w:br/>
        <w:t>(P011 = Sarkar et al., 2023b — Navigating nature’s toll…)</w:t>
      </w:r>
    </w:p>
    <w:p>
      <w:r>
        <w:t>Authors: Showmitra Kumar Sarkar; Md. Mustafa Saroar; Tanmoy Chakraborty.</w:t>
      </w:r>
    </w:p>
    <w:p>
      <w:pPr>
        <w:pStyle w:val="Heading2"/>
      </w:pPr>
      <w:r>
        <w:t>2. Publication and Version Status</w:t>
      </w:r>
    </w:p>
    <w:p>
      <w:r>
        <w:t>Original Research Article; peer reviewed: Yes.</w:t>
        <w:br/>
        <w:t>Published online: 27 June 2022 (Cambridge).</w:t>
        <w:br/>
        <w:t>Final journal listing: Disaster Medicine and Public Health Preparedness, Volume 17, 2023, article e198.</w:t>
        <w:br/>
        <w:t>Master matrix Year = 2023; Notes record Online first: 27 June 2022.</w:t>
        <w:br/>
        <w:t>Full text: Author-uploaded ResearchGate public full text reviewed (publication 361562126). Cambridge page requires institutional/purchase access. Binary PDF download from ResearchGate was blocked; working archive saved for file location continuity.</w:t>
      </w:r>
    </w:p>
    <w:p>
      <w:pPr>
        <w:pStyle w:val="Heading2"/>
      </w:pPr>
      <w:r>
        <w:t>3. Relationship with P011</w:t>
      </w:r>
    </w:p>
    <w:p>
      <w:r>
        <w:t>Same author team; same Ukhiya–Teknaf focus; same broad 2017–2021 LULC change magnitudes (forest −9.58 pp / −54.88 km²; settlement +8.25 pp / ~47.26 km²); ANN OA/Kappa identical to P011’s ANN results (0.97/0.96 and 0.91/0.89).</w:t>
      </w:r>
    </w:p>
    <w:p>
      <w:r>
        <w:t>Differences (verified):</w:t>
        <w:br/>
        <w:t>• Image dates: P012 uses January 2017 and January 2021; P011 uses 25 August 2017 and 20 March 2021.</w:t>
        <w:br/>
        <w:t>• Samples: P012 800 (640/160); P011 600 (480/120).</w:t>
        <w:br/>
        <w:t>• P011 adds RF/SVM comparison, LST, fuzzy EQ and Markov EQ transitions; P012 focuses on ANN + benefit-transfer ESV.</w:t>
        <w:br/>
        <w:t>• ESV totals and coefficient structure differ materially (see §34).</w:t>
      </w:r>
    </w:p>
    <w:p>
      <w:r>
        <w:t>Treat as one related evidence family (Decision 015), not two independent confirmations.</w:t>
      </w:r>
    </w:p>
    <w:p>
      <w:pPr>
        <w:pStyle w:val="Heading2"/>
      </w:pPr>
      <w:r>
        <w:t>4. Research Objective</w:t>
      </w:r>
    </w:p>
    <w:p>
      <w:r>
        <w:t>Estimate the cost/change of ecosystem service value (ESV) due to the Rohingya refugee influx in Ukhiya and Teknaf using ANN LULC classification and benefit-transfer valuation.</w:t>
      </w:r>
    </w:p>
    <w:p>
      <w:pPr>
        <w:pStyle w:val="Heading2"/>
      </w:pPr>
      <w:r>
        <w:t>5. Study Area</w:t>
      </w:r>
    </w:p>
    <w:p>
      <w:r>
        <w:t>Ukhiya and Teknaf upazilas, Cox’s Bazar District, Bangladesh — majority of Rohingya camps.</w:t>
        <w:br/>
        <w:t>Total study area: 573.07 km² (Table 2).</w:t>
      </w:r>
    </w:p>
    <w:p>
      <w:pPr>
        <w:pStyle w:val="Heading2"/>
      </w:pPr>
      <w:r>
        <w:t>6. Study Period</w:t>
      </w:r>
    </w:p>
    <w:p>
      <w:r>
        <w:t>LULC and ESV comparison: 2017 vs 2021.</w:t>
        <w:br/>
        <w:t>Authors label 2017 as before the Rohingya refugee influx.</w:t>
      </w:r>
    </w:p>
    <w:p>
      <w:pPr>
        <w:pStyle w:val="Heading2"/>
      </w:pPr>
      <w:r>
        <w:t>7. Satellite Image Dates</w:t>
      </w:r>
    </w:p>
    <w:p>
      <w:r>
        <w:t>Verified from Methods (not copied from P011):</w:t>
        <w:br/>
        <w:t>• Pre-influx: January 2017 — Sentinel-2A (described as before 25 August 2017)</w:t>
        <w:br/>
        <w:t>• Post-influx: January 2021 — Sentinel-2B</w:t>
      </w:r>
    </w:p>
    <w:p>
      <w:r>
        <w:t>Seasonal pairing is same-month (January–January), unlike P011’s August–March pair.</w:t>
        <w:br/>
        <w:t>Exact calendar day within January is not stated beyond month/year.</w:t>
      </w:r>
    </w:p>
    <w:p>
      <w:pPr>
        <w:pStyle w:val="Heading2"/>
      </w:pPr>
      <w:r>
        <w:t>8. Satellite Data and Bands</w:t>
      </w:r>
    </w:p>
    <w:p>
      <w:r>
        <w:t>Sentinel-2A and Sentinel-2B high-resolution multispectral imagery; 10 m spatial resolution in visible and NIR bands.</w:t>
        <w:br/>
        <w:t>Cloud-free imagery collected because monsoon (March–November) cloud cover is challenging; images obtained via ESA/GloVis workflow as described.</w:t>
      </w:r>
    </w:p>
    <w:p>
      <w:pPr>
        <w:pStyle w:val="Heading2"/>
      </w:pPr>
      <w:r>
        <w:t>9. Reference and Validation Data</w:t>
      </w:r>
    </w:p>
    <w:p>
      <w:r>
        <w:t>800 sample sites randomly selected from field-based observations and WorldView-2 (0.5 m).</w:t>
        <w:br/>
        <w:t>Training: 640 (80%); Testing: 160 (20%).</w:t>
        <w:br/>
        <w:t>Rohingya camp/population information from UNHCR.</w:t>
      </w:r>
    </w:p>
    <w:p>
      <w:pPr>
        <w:pStyle w:val="Heading2"/>
      </w:pPr>
      <w:r>
        <w:t>10. LULC Classes</w:t>
      </w:r>
    </w:p>
    <w:p>
      <w:r>
        <w:t>1. Agriculture</w:t>
        <w:br/>
        <w:t>2. Forest</w:t>
        <w:br/>
        <w:t>3. Settlement</w:t>
        <w:br/>
        <w:t>4. Water</w:t>
      </w:r>
    </w:p>
    <w:p>
      <w:pPr>
        <w:pStyle w:val="Heading2"/>
      </w:pPr>
      <w:r>
        <w:t>11. ANN Classification Method</w:t>
      </w:r>
    </w:p>
    <w:p>
      <w:r>
        <w:t>Supervised ANN with input, hidden and output layers.</w:t>
        <w:br/>
        <w:t>Training iterations fixed at 1,000.</w:t>
        <w:br/>
        <w:t>Models built in R for 2017 and 2021 time series.</w:t>
      </w:r>
    </w:p>
    <w:p>
      <w:pPr>
        <w:pStyle w:val="Heading2"/>
      </w:pPr>
      <w:r>
        <w:t>12. Training and Testing Design</w:t>
      </w:r>
    </w:p>
    <w:p>
      <w:r>
        <w:t>Random partition of 800 sites: 80% train / 20% test.</w:t>
        <w:br/>
        <w:t>Accuracy assessed with overall accuracy and Kappa.</w:t>
      </w:r>
    </w:p>
    <w:p>
      <w:pPr>
        <w:pStyle w:val="Heading2"/>
      </w:pPr>
      <w:r>
        <w:t>13. Classification Accuracy</w:t>
      </w:r>
    </w:p>
    <w:p>
      <w:r>
        <w:t>ANN 2017: OA 0.97; Kappa 0.96</w:t>
        <w:br/>
        <w:t>ANN 2021: OA 0.91; Kappa 0.89</w:t>
        <w:br/>
        <w:t>(Identical to P011’s reported ANN accuracies.)</w:t>
      </w:r>
    </w:p>
    <w:p>
      <w:pPr>
        <w:pStyle w:val="Heading2"/>
      </w:pPr>
      <w:r>
        <w:t>14. LULC Change Detection</w:t>
      </w:r>
    </w:p>
    <w:p>
      <w:r>
        <w:t>Post-classification comparison of ANN maps 2017→2021 (Table 2; Figure 2).</w:t>
        <w:br/>
        <w:t>Primary narrative: forest → settlement in camp areas; some forest/water → agriculture.</w:t>
      </w:r>
    </w:p>
    <w:p>
      <w:pPr>
        <w:pStyle w:val="Heading2"/>
      </w:pPr>
      <w:r>
        <w:t>15. Ecosystem-Service Framework</w:t>
      </w:r>
    </w:p>
    <w:p>
      <w:r>
        <w:t>Millennium Ecosystem Assessment / Costanza-style service typology.</w:t>
        <w:br/>
        <w:t>Nine of seventeen ES used (aligned with cited benefit-transfer applications).</w:t>
        <w:br/>
        <w:t>Service groups: Provisioning, Regulating, Supporting, Culture.</w:t>
      </w:r>
    </w:p>
    <w:p>
      <w:pPr>
        <w:pStyle w:val="Heading2"/>
      </w:pPr>
      <w:r>
        <w:t>16. Benefit-Transfer Method</w:t>
      </w:r>
    </w:p>
    <w:p>
      <w:r>
        <w:t>Benefit-transfer applied for practicality.</w:t>
        <w:br/>
        <w:t>Equations (1)–(3): ESVk = Σ Ak × VCkf; ESVf = Σ Ak × VCkf; total ESV = ΣΣ Ak × VCkf.</w:t>
      </w:r>
    </w:p>
    <w:p>
      <w:pPr>
        <w:pStyle w:val="Heading2"/>
      </w:pPr>
      <w:r>
        <w:t>17. Ecosystem Types and Proxy Assignment</w:t>
      </w:r>
    </w:p>
    <w:p>
      <w:r>
        <w:t>LULC mapped to proxy ecosystem types (citing study 11 / Kindu-style coefficients):</w:t>
        <w:br/>
        <w:t>Agriculture → cropland</w:t>
        <w:br/>
        <w:t>Forest → forests</w:t>
        <w:br/>
        <w:t>Settlement → urban areas</w:t>
        <w:br/>
        <w:t>Water → wetlands</w:t>
      </w:r>
    </w:p>
    <w:p>
      <w:r>
        <w:t>Critical: settlement/urban receives a large recreation–cultural coefficient, so built-up expansion raises aggregate ESV.</w:t>
      </w:r>
    </w:p>
    <w:p>
      <w:pPr>
        <w:pStyle w:val="Heading2"/>
      </w:pPr>
      <w:r>
        <w:t>18. Ecosystem-Service Coefficients</w:t>
      </w:r>
    </w:p>
    <w:p>
      <w:r>
        <w:t>Table 1 reports US$/ha/year coefficients by service subtype × LULC.</w:t>
        <w:br/>
        <w:t>Discussion states aggregate coefficient for settlement ≈ 6661 vs forest ≈ 3135, explaining why total ESV rises despite forest loss.</w:t>
        <w:br/>
        <w:t>Coefficients are literature transfer values, not field-derived for Ukhiya–Teknaf.</w:t>
      </w:r>
    </w:p>
    <w:p>
      <w:pPr>
        <w:pStyle w:val="Heading2"/>
      </w:pPr>
      <w:r>
        <w:t>19. Total Ecosystem-Service Value</w:t>
      </w:r>
    </w:p>
    <w:p>
      <w:r>
        <w:t>Table 3:</w:t>
        <w:br/>
        <w:t>2017 total ESV: US$310.13 million</w:t>
        <w:br/>
        <w:t>2021 total ESV: US$332.94 million</w:t>
        <w:br/>
        <w:t>Net change: +US$22.81 million</w:t>
      </w:r>
    </w:p>
    <w:p>
      <w:r>
        <w:t>Composition 2017→2021 (approx.):</w:t>
        <w:br/>
        <w:t>Settlement 33.54% → 40.69% (US$104m → US$135.48m)</w:t>
        <w:br/>
        <w:t>Forest 25.27% → 18.37% (US$78.37m → US$61.15m)</w:t>
        <w:br/>
        <w:t>Water 20.17% → 21.12%</w:t>
        <w:br/>
        <w:t>Agriculture 21.02% → 19.82%</w:t>
      </w:r>
    </w:p>
    <w:p>
      <w:pPr>
        <w:pStyle w:val="Heading2"/>
      </w:pPr>
      <w:r>
        <w:t>20. Provisioning Services</w:t>
      </w:r>
    </w:p>
    <w:p>
      <w:r>
        <w:t>Table 4 (2017→2021):</w:t>
        <w:br/>
        <w:t>Food production: US$35.21m → US$33.96m (−3.54%)</w:t>
        <w:br/>
        <w:t>Raw material: US$7.09m → US$6.12m (−13.58%)</w:t>
        <w:br/>
        <w:t>Provisioning aggregate declined.</w:t>
      </w:r>
    </w:p>
    <w:p>
      <w:pPr>
        <w:pStyle w:val="Heading2"/>
      </w:pPr>
      <w:r>
        <w:t>21. Regulating Services</w:t>
      </w:r>
    </w:p>
    <w:p>
      <w:r>
        <w:t>Gas regulation: US$0 (both years)</w:t>
        <w:br/>
        <w:t>Climate regulation: US$22.74m → US$26.24m (+15.39%)</w:t>
        <w:br/>
        <w:t>Water regulation: US$56.31m → US$61.18m (+8.65%)</w:t>
        <w:br/>
        <w:t>Regulating aggregate increased.</w:t>
      </w:r>
    </w:p>
    <w:p>
      <w:pPr>
        <w:pStyle w:val="Heading2"/>
      </w:pPr>
      <w:r>
        <w:t>22. Supporting Services</w:t>
      </w:r>
    </w:p>
    <w:p>
      <w:r>
        <w:t>Soil-formation and retention: −4.89%</w:t>
        <w:br/>
        <w:t>Waste treatment: −0.27%</w:t>
        <w:br/>
        <w:t>Biodiversity: −14.57%</w:t>
        <w:br/>
        <w:t>Supporting aggregate declined.</w:t>
      </w:r>
    </w:p>
    <w:p>
      <w:pPr>
        <w:pStyle w:val="Heading2"/>
      </w:pPr>
      <w:r>
        <w:t>23. Cultural Services</w:t>
      </w:r>
    </w:p>
    <w:p>
      <w:r>
        <w:t>Recreation, cultural and tourism: US$126.15m → US$149.19m (+18.27%)</w:t>
        <w:br/>
        <w:t>Largest absolute ESV gain; driven substantially by settlement expansion under high urban cultural coefficients.</w:t>
      </w:r>
    </w:p>
    <w:p>
      <w:pPr>
        <w:pStyle w:val="Heading2"/>
      </w:pPr>
      <w:r>
        <w:t>24. Raw-Material Value</w:t>
      </w:r>
    </w:p>
    <w:p>
      <w:r>
        <w:t>Decline of 13.58% (US$7.09m → US$6.12m). Matches official abstract.</w:t>
        <w:br/>
        <w:t>Note: this abstract figure conflicts with P011 Table 5 (−21.97%) and matches the P011 abstract’s raw-material percentage — suggesting abstract reuse/cross-paper confusion in P011.</w:t>
      </w:r>
    </w:p>
    <w:p>
      <w:pPr>
        <w:pStyle w:val="Heading2"/>
      </w:pPr>
      <w:r>
        <w:t>25. Biodiversity Value</w:t>
      </w:r>
    </w:p>
    <w:p>
      <w:r>
        <w:t>Decline of 14.57% (US$40.24m → US$34.38m). Matches official abstract.</w:t>
        <w:br/>
        <w:t>Differs from P011 Table 5 biodiversity change (−2.29%).</w:t>
      </w:r>
    </w:p>
    <w:p>
      <w:pPr>
        <w:pStyle w:val="Heading2"/>
      </w:pPr>
      <w:r>
        <w:t>26. Sensitivity Analysis</w:t>
      </w:r>
    </w:p>
    <w:p>
      <w:r>
        <w:t>±50% coefficient adjustment; CS (elasticity) computed.</w:t>
        <w:br/>
        <w:t>Settlement CS higher (0.34 in 2017; 0.41 in 2021); forest CS fell 0.25→0.18.</w:t>
        <w:br/>
        <w:t>All estimated ESV inelastic (CS &lt; 1) — Table 5.</w:t>
        <w:br/>
        <w:t>Does not propagate LULC classification uncertainty into monetary ESV.</w:t>
      </w:r>
    </w:p>
    <w:p>
      <w:pPr>
        <w:pStyle w:val="Heading2"/>
      </w:pPr>
      <w:r>
        <w:t>27. Main Forest Findings</w:t>
      </w:r>
    </w:p>
    <w:p>
      <w:r>
        <w:t>Forest: 249.82 km² (43.59%) → 194.94 km² (34.02%)</w:t>
        <w:br/>
        <w:t>Change: −54.88 km² (−9.58 percentage points)</w:t>
        <w:br/>
        <w:t>Equivalent ≈ 5,488 ha.</w:t>
        <w:br/>
        <w:t>Forest ESV loss: US$17.22 million (−21.97%).</w:t>
      </w:r>
    </w:p>
    <w:p>
      <w:pPr>
        <w:pStyle w:val="Heading2"/>
      </w:pPr>
      <w:r>
        <w:t>28. Settlement Findings</w:t>
      </w:r>
    </w:p>
    <w:p>
      <w:r>
        <w:t>Settlement: 156.14 km² (27.25%) → 203.39 km² (35.49%)</w:t>
        <w:br/>
        <w:t>Change: +47.25 km² in Table 2; abstract rounds to 47.26 km² (+8.25 pp)</w:t>
        <w:br/>
        <w:t>Equivalent ≈ 4,725–4,726 ha.</w:t>
        <w:br/>
        <w:t>Settlement ESV: +US$31.48 million (+30.26%).</w:t>
      </w:r>
    </w:p>
    <w:p>
      <w:pPr>
        <w:pStyle w:val="Heading2"/>
      </w:pPr>
      <w:r>
        <w:t>29. Main ESV Findings</w:t>
      </w:r>
    </w:p>
    <w:p>
      <w:r>
        <w:t>Aggregate ESV increased (+US$22.81m) despite forest-service losses because settlement/urban coefficients outweigh forest losses in the transfer framework.</w:t>
        <w:br/>
        <w:t>Forest-specific, raw-material and biodiversity services declined.</w:t>
        <w:br/>
        <w:t>Interpretive risk: rising total ESV must not be read as ecological improvement.</w:t>
      </w:r>
    </w:p>
    <w:p>
      <w:pPr>
        <w:pStyle w:val="Heading2"/>
      </w:pPr>
      <w:r>
        <w:t>30. Authors’ Interpretation</w:t>
      </w:r>
    </w:p>
    <w:p>
      <w:r>
        <w:t>Authors attribute forest loss and settlement growth to the Rohingya influx and camp establishment in hilly forests.</w:t>
        <w:br/>
        <w:t>They explicitly note settlement’s higher coefficient (≈6661 vs forest ≈3135) drives the aggregate ESV increase.</w:t>
        <w:br/>
        <w:t>They conclude forest ESV loss harms ecosystem, livelihood and biodiversity and increases hazard vulnerability.</w:t>
      </w:r>
    </w:p>
    <w:p>
      <w:pPr>
        <w:pStyle w:val="Heading2"/>
      </w:pPr>
      <w:r>
        <w:t>31. Policy Recommendations</w:t>
      </w:r>
    </w:p>
    <w:p>
      <w:r>
        <w:t>ESV valuation presented as decision support for natural-resource conservation and sustainable development by government officials.</w:t>
      </w:r>
    </w:p>
    <w:p>
      <w:pPr>
        <w:pStyle w:val="Heading2"/>
      </w:pPr>
      <w:r>
        <w:t>32. Author-Stated Limitations</w:t>
      </w:r>
    </w:p>
    <w:p>
      <w:r>
        <w:t>Only four broad LULC types considered.</w:t>
        <w:br/>
        <w:t>ESV coefficients widely accepted literature values, not derived from field measurements.</w:t>
        <w:br/>
        <w:t>Future research should address these issues.</w:t>
      </w:r>
    </w:p>
    <w:p>
      <w:pPr>
        <w:pStyle w:val="Heading2"/>
      </w:pPr>
      <w:r>
        <w:t>33. Limitations Identified by Us</w:t>
      </w:r>
    </w:p>
    <w:p>
      <w:r>
        <w:t>• Only two observation dates — no annual trend, pre-trend, disturbance timing or recovery analysis.</w:t>
        <w:br/>
        <w:t>• January 2017 is a cleaner pre-influx month than P011’s 25 Aug 2017, but still a single snapshot.</w:t>
        <w:br/>
        <w:t>• Descriptive pre/post design — no counterfactual / SDID / spillover design.</w:t>
        <w:br/>
        <w:t>• Benefit-transfer coefficients not locally calibrated; settlement/urban cultural coefficients dominate total ESV direction.</w:t>
        <w:br/>
        <w:t>• Aggregate ESV increase masks forest, raw-material and biodiversity losses.</w:t>
        <w:br/>
        <w:t>• Classification uncertainty not propagated into ESV.</w:t>
        <w:br/>
        <w:t>• No fragmentation, AGB/carbon, CO₂e, SHAP, or causal attribution.</w:t>
        <w:br/>
        <w:t>• Material ESV differences vs P011 require explicit reconciliation (Decision 015).</w:t>
        <w:br/>
        <w:t>• Near-identical LULC percentages and ANN accuracies to P011 despite different claimed image dates/sample sizes raise non-independence concerns.</w:t>
      </w:r>
    </w:p>
    <w:p>
      <w:pPr>
        <w:pStyle w:val="Heading2"/>
      </w:pPr>
      <w:r>
        <w:t>34. Numerical and Cross-Paper Inconsistencies</w:t>
      </w:r>
    </w:p>
    <w:p>
      <w:r>
        <w:t>Within P012:</w:t>
        <w:br/>
        <w:t>• Settlement change abstract 47.26 km² vs Table 2 47.25 km² (rounding).</w:t>
      </w:r>
    </w:p>
    <w:p>
      <w:r>
        <w:t>P012 vs P011 (do not merge/average):</w:t>
        <w:br/>
        <w:t>• Total ESV: P012 US$310.13m→US$332.94m vs P011 US$67.83m→US$67.78m</w:t>
        <w:br/>
        <w:t>• Forest ESV loss: P012 −US$17.22m (−21.97%) vs P011 −US$5.33m (−21.97% rate but different levels)</w:t>
        <w:br/>
        <w:t>• Raw materials: P012 −13.58% vs P011 Table 5 −21.97% (P011 abstract also says 13.58%)</w:t>
        <w:br/>
        <w:t>• Biodiversity: P012 −14.57% vs P011 Table 5 −2.29% (P011 abstract also says 14.57%)</w:t>
        <w:br/>
        <w:t>• Settlement ESV: P012 large positive vs P011 zero</w:t>
        <w:br/>
        <w:t>• Image dates and sample counts differ; LULC area shares and ANN accuracies match</w:t>
      </w:r>
    </w:p>
    <w:p>
      <w:r>
        <w:t>Likely causes (pending final coefficient-table reconciliation): different valuation coefficients; different ecosystem-type mappings (especially settlement≠0); different aggregation; revised calculations in P011; expanded P011 scope.</w:t>
      </w:r>
    </w:p>
    <w:p>
      <w:r>
        <w:t>Values must be cited to the originating paper only.</w:t>
      </w:r>
    </w:p>
    <w:p>
      <w:pPr>
        <w:pStyle w:val="Heading2"/>
      </w:pPr>
      <w:r>
        <w:t>35. Relevance to Our Research</w:t>
      </w:r>
    </w:p>
    <w:p>
      <w:r>
        <w:t>High — direct monetary ESV interpretation of 2017–2021 Ukhiya–Teknaf LULC change.</w:t>
        <w:br/>
        <w:t>Supports Decision 014 (ESV supplementary) and Decision 015 (overlapping publications).</w:t>
        <w:br/>
        <w:t>Useful for documenting coefficient-sensitivity of aggregate ESV narratives.</w:t>
      </w:r>
    </w:p>
    <w:p>
      <w:pPr>
        <w:pStyle w:val="Heading2"/>
      </w:pPr>
      <w:r>
        <w:t>36. Research Gap</w:t>
      </w:r>
    </w:p>
    <w:p>
      <w:r>
        <w:t>P012 provides a monetary ecosystem-service interpretation of 2017–2021 LULC change, but it does not provide a long annual baseline, counterfactual causal design, fragmentation analysis, spatial biomass/carbon accounting or propagated uncertainty.</w:t>
      </w:r>
    </w:p>
    <w:p>
      <w:r>
        <w:t>The proposed study will treat ESV as supplementary evidence and prioritize physically measurable outcomes: annual forest loss, fragmentation and above-ground carbon loss.</w:t>
      </w:r>
    </w:p>
    <w:p>
      <w:r>
        <w:t>Any ecosystem-service interpretation will be separated from SDID causal attribution and will clearly disclose coefficient and classification uncertainty.</w:t>
      </w:r>
    </w:p>
    <w:p>
      <w:pPr>
        <w:pStyle w:val="Heading2"/>
      </w:pPr>
      <w:r>
        <w:t>37. Comparison with P011</w:t>
      </w:r>
    </w:p>
    <w:p>
      <w:r>
        <w:t>P012 (2023a): earlier online (June 2022); ANN-only; January 2017/2021 imagery; settlement-inclusive ESV coefficients; aggregate ESV rises.</w:t>
        <w:br/>
        <w:t>P011 (2023b): later Heliyon article; ANN/RF/SVM + fuzzy EQ + LST; Aug 2017/Mar 2021 imagery; settlement ESV=0; aggregate ESV nearly flat; adds ecological-quality modelling.</w:t>
      </w:r>
    </w:p>
    <w:p>
      <w:r>
        <w:t>Cite P012 for its specific ESV framework/results; cite P011 for ML comparison, EQ and revised ESV. Do not treat as independent forest-loss replications.</w:t>
      </w:r>
    </w:p>
    <w:p>
      <w:pPr>
        <w:pStyle w:val="Heading2"/>
      </w:pPr>
      <w:r>
        <w:t>38. Planned Use in Literature Review</w:t>
      </w:r>
    </w:p>
    <w:p>
      <w:r>
        <w:t>• Theme Ecosystem Services: report P012 totals and service-specific declines with coefficient caveat.</w:t>
        <w:br/>
        <w:t>• Critical note: aggregate ESV up ≠ ecological improvement; P011/P012 non-independence.</w:t>
        <w:br/>
        <w:t>• Support Decisions 014 and 015.</w:t>
      </w:r>
    </w:p>
    <w:p>
      <w:pPr>
        <w:pStyle w:val="Heading2"/>
      </w:pPr>
      <w:r>
        <w:t>39. Important Tables and Figures</w:t>
      </w:r>
    </w:p>
    <w:p>
      <w:r>
        <w:t>Table 1 — ESV coefficients by LULC/service</w:t>
        <w:br/>
        <w:t>Table 2 — LULC area change</w:t>
        <w:br/>
        <w:t>Table 3 — Total ESV by LULC</w:t>
        <w:br/>
        <w:t>Table 4 — ESV by ecosystem function</w:t>
        <w:br/>
        <w:t>Table 5 — Coefficient sensitivity (CS)</w:t>
        <w:br/>
        <w:t>Figure 1 — Study area / camps</w:t>
        <w:br/>
        <w:t>Figure 2 — LULC 2017 vs 2021</w:t>
        <w:br/>
        <w:t>Figure 3 — Spatial ESV by function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