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P013 — Full-Text Extraction</w:t>
      </w:r>
    </w:p>
    <w:p>
      <w:pPr>
        <w:pStyle w:val="Heading2"/>
      </w:pPr>
      <w:r>
        <w:t>1. Verified Citation</w:t>
      </w:r>
    </w:p>
    <w:p>
      <w:r>
        <w:t>Ahmed, F., Alam, S., Saha, O. R., &amp; Rahman, A. (2024). The Rohingya refugee crisis in Bangladesh: assessing the impact on land use patterns and land surface temperature using machine learning. Environmental Monitoring and Assessment, 196(6), Article 555. https://doi.org/10.1007/s10661-024-12701-3</w:t>
      </w:r>
    </w:p>
    <w:p>
      <w:r>
        <w:t>Published / version of record: 18 May 2024.</w:t>
        <w:br/>
        <w:t>Authors: Faishal Ahmed; Siam Alam; Ovi Ranjan Saha; Afeefa Rahman.</w:t>
      </w:r>
    </w:p>
    <w:p>
      <w:pPr>
        <w:pStyle w:val="Heading2"/>
      </w:pPr>
      <w:r>
        <w:t>2. Publication and Access Status</w:t>
      </w:r>
    </w:p>
    <w:p>
      <w:r>
        <w:t>Research Article; peer reviewed: Yes.</w:t>
        <w:br/>
        <w:t>Springer Nature Environmental Monitoring and Assessment, Volume 196, Issue 6, article 555.</w:t>
        <w:br/>
        <w:t>Full article text reviewed from the author-uploaded public version (ResearchGate publication 380694917); binary author PDF to be archived when available.</w:t>
        <w:br/>
        <w:t>Cambridge/Springer institutional PDF purchase may be required for publisher binary.</w:t>
      </w:r>
    </w:p>
    <w:p>
      <w:pPr>
        <w:pStyle w:val="Heading2"/>
      </w:pPr>
      <w:r>
        <w:t>3. Research Objectives</w:t>
      </w:r>
    </w:p>
    <w:p>
      <w:r>
        <w:t>Evaluate Rohingya-crisis impacts on land-use patterns and land-surface temperature in Cox’s Bazar using remote sensing and machine learning.</w:t>
        <w:br/>
        <w:t>Establish correlation between LST and refugee settlement under continuing influx.</w:t>
        <w:br/>
        <w:t>Train CA–ANN to predict future LULC and LST for Teknaf and Ukhiya (2028, 2034).</w:t>
        <w:br/>
        <w:t>Contribute to humanitarian-response and environmental-management discourse.</w:t>
      </w:r>
    </w:p>
    <w:p>
      <w:pPr>
        <w:pStyle w:val="Heading2"/>
      </w:pPr>
      <w:r>
        <w:t>4. Study Area</w:t>
      </w:r>
    </w:p>
    <w:p>
      <w:r>
        <w:t>Ukhiya and Teknaf, Cox’s Bazar District, Bangladesh.</w:t>
        <w:br/>
        <w:t>Approximate coordinates cited: 20°54′00″–21°14′00″ N; 92°08′00″–92°16′00″ E.</w:t>
        <w:br/>
        <w:t>Camp territory stated as ~24 km² with ~905,776 refugees in 34 camps (context).</w:t>
      </w:r>
    </w:p>
    <w:p>
      <w:pPr>
        <w:pStyle w:val="Heading2"/>
      </w:pPr>
      <w:r>
        <w:t>5. Historical Camp-Core Analysis Area</w:t>
      </w:r>
    </w:p>
    <w:p>
      <w:r>
        <w:t>Historical descriptive LULC/LST analysis focuses on approximately 24 km² Rohingya camp landscape within Ukhiya and Teknaf.</w:t>
        <w:br/>
        <w:t>Percentages for settlement/vegetation/LST history apply to this camp-core domain only.</w:t>
      </w:r>
    </w:p>
    <w:p>
      <w:pPr>
        <w:pStyle w:val="Heading2"/>
      </w:pPr>
      <w:r>
        <w:t>6. Upazila-Wide Prediction Area</w:t>
      </w:r>
    </w:p>
    <w:p>
      <w:r>
        <w:t>CA–ANN future LULC/LST predictions cover the wider Ukhiya and Teknaf upazilas.</w:t>
        <w:br/>
        <w:t>Camp-core historical % and upazila-wide prediction % must not be compared as if they share the same denominator (Decision 016).</w:t>
      </w:r>
    </w:p>
    <w:p>
      <w:pPr>
        <w:pStyle w:val="Heading2"/>
      </w:pPr>
      <w:r>
        <w:t>7. Study Period</w:t>
      </w:r>
    </w:p>
    <w:p>
      <w:r>
        <w:t>Historical LULC and LST: 1997–2022 at approximately five-year intervals (plus 2018 and 2020 for CA–ANN).</w:t>
        <w:br/>
        <w:t>Prediction years: 2028 and 2034.</w:t>
        <w:br/>
        <w:t>CA–ANN calibration: 2018 and 2020 LULC used to simulate 2022.</w:t>
      </w:r>
    </w:p>
    <w:p>
      <w:pPr>
        <w:pStyle w:val="Heading2"/>
      </w:pPr>
      <w:r>
        <w:t>8. Landsat Image Dates</w:t>
      </w:r>
    </w:p>
    <w:p>
      <w:r>
        <w:t>Exact dates (Table 1):</w:t>
        <w:br/>
        <w:t>1997 — 19 January (Landsat 4–5 TM)</w:t>
        <w:br/>
        <w:t>2002 — 09 January (Landsat 7 ETM+)</w:t>
        <w:br/>
        <w:t>2007 — 15 January (Landsat 4–5 TM)</w:t>
        <w:br/>
        <w:t>2012 — 21 January (Landsat 7 ETM+)</w:t>
        <w:br/>
        <w:t>2017 — 26 January (labelled Landsat 8–9 OLI/TIRS)</w:t>
        <w:br/>
        <w:t>2018 — 13 January (labelled Landsat 8–9 OLI/TIRS)</w:t>
        <w:br/>
        <w:t>2020 — 19 January (labelled Landsat 8–9 OLI/TIRS)</w:t>
        <w:br/>
        <w:t>2022 — 08 January (labelled Landsat 8–9 OLI/TIRS)</w:t>
      </w:r>
    </w:p>
    <w:p>
      <w:r>
        <w:t>Cloud cover reported below 10%; January scenes preferred.</w:t>
      </w:r>
    </w:p>
    <w:p>
      <w:pPr>
        <w:pStyle w:val="Heading2"/>
      </w:pPr>
      <w:r>
        <w:t>9. Satellite Sensors and Resolution</w:t>
      </w:r>
    </w:p>
    <w:p>
      <w:r>
        <w:t>30 m Landsat TM, ETM+ and OLI/TIRS.</w:t>
        <w:br/>
        <w:t>Sensor-label note: Table 1 lists later scenes as “Landsat 8–9 OLI and TIRS,” but Landsat 9 was not available for 2017–2020 acquisition dates. Preserve publisher wording; flag inconsistency; verify scene IDs later if needed.</w:t>
      </w:r>
    </w:p>
    <w:p>
      <w:pPr>
        <w:pStyle w:val="Heading2"/>
      </w:pPr>
      <w:r>
        <w:t>10. Ancillary Spatial Data</w:t>
      </w:r>
    </w:p>
    <w:p>
      <w:r>
        <w:t>30 m DEM; road network; river/stream network; Google Earth Pro reference imagery.</w:t>
        <w:br/>
        <w:t>DEM, roads and streams used as spatial drivers for prediction (distance from roads/streams).</w:t>
      </w:r>
    </w:p>
    <w:p>
      <w:pPr>
        <w:pStyle w:val="Heading2"/>
      </w:pPr>
      <w:r>
        <w:t>11. Image Preprocessing</w:t>
      </w:r>
    </w:p>
    <w:p>
      <w:r>
        <w:t>Preprocessing of Landsat stacks prior to iso-cluster classification and LST workflow (radiometric/TOA steps as described for LST).</w:t>
        <w:br/>
        <w:t>Complete cross-sensor harmonization and scene-level reproducibility details are not fully documented.</w:t>
      </w:r>
    </w:p>
    <w:p>
      <w:pPr>
        <w:pStyle w:val="Heading2"/>
      </w:pPr>
      <w:r>
        <w:t>12. LULC Classes</w:t>
      </w:r>
    </w:p>
    <w:p>
      <w:r>
        <w:t>1. Water body</w:t>
        <w:br/>
        <w:t>2. Settlement</w:t>
        <w:br/>
        <w:t>3. Barren land / bare soil</w:t>
        <w:br/>
        <w:t>4. Vegetation — includes sparse and thick vegetation, trees, grassland and agriculture.</w:t>
      </w:r>
    </w:p>
    <w:p>
      <w:r>
        <w:t>Warning: Vegetation ≠ Forest. Do not equate vegetation decline with forest-specific loss without qualification.</w:t>
      </w:r>
    </w:p>
    <w:p>
      <w:pPr>
        <w:pStyle w:val="Heading2"/>
      </w:pPr>
      <w:r>
        <w:t>13. Iso-Cluster Classification</w:t>
      </w:r>
    </w:p>
    <w:p>
      <w:r>
        <w:t>Unsupervised iso-cluster classification into four major categories; verified with Google Earth Pro.</w:t>
      </w:r>
    </w:p>
    <w:p>
      <w:pPr>
        <w:pStyle w:val="Heading2"/>
      </w:pPr>
      <w:r>
        <w:t>14. Google Earth Verification</w:t>
      </w:r>
    </w:p>
    <w:p>
      <w:r>
        <w:t>Historical class maps checked against Google Earth Pro visual/reference comparison.</w:t>
        <w:br/>
        <w:t>Formal accuracy assessment reported for 2022 using 60 random Google Earth points.</w:t>
      </w:r>
    </w:p>
    <w:p>
      <w:pPr>
        <w:pStyle w:val="Heading2"/>
      </w:pPr>
      <w:r>
        <w:t>15. LST Estimation</w:t>
      </w:r>
    </w:p>
    <w:p>
      <w:r>
        <w:t>Workflow: TOA spectral radiance → brightness temperature → NDVI → proportion of vegetation → land-surface emissivity → LST.</w:t>
        <w:br/>
        <w:t>January mean LST used for historical comparison.</w:t>
      </w:r>
    </w:p>
    <w:p>
      <w:pPr>
        <w:pStyle w:val="Heading2"/>
      </w:pPr>
      <w:r>
        <w:t>16. NDVI, NDBI and NDWI</w:t>
      </w:r>
    </w:p>
    <w:p>
      <w:r>
        <w:t>NDVI used in emissivity/LST processing and as LST–vegetation association diagnostic.</w:t>
        <w:br/>
        <w:t>NDVI, NDBI and NDWI used as spatial variables influencing future LST prediction (vegetation cooling; built-up warming; water effects).</w:t>
      </w:r>
    </w:p>
    <w:p>
      <w:pPr>
        <w:pStyle w:val="Heading2"/>
      </w:pPr>
      <w:r>
        <w:t>17. Land-Surface Emissivity</w:t>
      </w:r>
    </w:p>
    <w:p>
      <w:r>
        <w:t>Emissivity derived from NDVI / proportion of vegetation; combined with brightness temperature and wavelength terms for LST.</w:t>
      </w:r>
    </w:p>
    <w:p>
      <w:pPr>
        <w:pStyle w:val="Heading2"/>
      </w:pPr>
      <w:r>
        <w:t>18. CA–ANN Model</w:t>
      </w:r>
    </w:p>
    <w:p>
      <w:r>
        <w:t>Cellular Automata–Artificial Neural Network for future LULC (and linked LST) simulation.</w:t>
        <w:br/>
        <w:t>Authors tuned hidden layers, neighbourhood, samples, iterations and momentum to maximize validation Kappa, but final hyperparameter values are not fully reported.</w:t>
      </w:r>
    </w:p>
    <w:p>
      <w:pPr>
        <w:pStyle w:val="Heading2"/>
      </w:pPr>
      <w:r>
        <w:t>19. MOLUSCE Implementation</w:t>
      </w:r>
    </w:p>
    <w:p>
      <w:r>
        <w:t>QGIS 2.18.26; MOLUSCE (Modules for Land-Use Change Simulation) plugin (Asia Air Survey).</w:t>
      </w:r>
    </w:p>
    <w:p>
      <w:pPr>
        <w:pStyle w:val="Heading2"/>
      </w:pPr>
      <w:r>
        <w:t>20. Model Calibration</w:t>
      </w:r>
    </w:p>
    <w:p>
      <w:r>
        <w:t>Inputs: 2018 LULC, 2020 LULC, DEM, distance from roads, distance from streams.</w:t>
        <w:br/>
        <w:t>Simulate 2022; then iterate to 2028 (iteration 3) and 2034 (iteration 6).</w:t>
        <w:br/>
        <w:t>Prediction deliberately starts post-2017 so the model reflects post-influx transition structure.</w:t>
      </w:r>
    </w:p>
    <w:p>
      <w:pPr>
        <w:pStyle w:val="Heading2"/>
      </w:pPr>
      <w:r>
        <w:t>21. LULC Validation</w:t>
      </w:r>
    </w:p>
    <w:p>
      <w:r>
        <w:t>Simulated 2022 vs classified 2022.</w:t>
        <w:br/>
        <w:t>External reference: 60 random Google Earth Pro points.</w:t>
        <w:br/>
        <w:t>Overall accuracy ≈ 92%; Kappa = 0.89.</w:t>
        <w:br/>
        <w:t>User accuracy: Water 1.00; Settlement 0.92; Bare land 0.79; Vegetation 0.95.</w:t>
        <w:br/>
        <w:t>Producer accuracy: Water 0.94; Settlement 0.85; Bare land 0.92; Vegetation 0.95.</w:t>
        <w:br/>
        <w:t>These apply to the 2022 validation, not independently to every historical date.</w:t>
      </w:r>
    </w:p>
    <w:p>
      <w:pPr>
        <w:pStyle w:val="Heading2"/>
      </w:pPr>
      <w:r>
        <w:t>22. LST Validation Approach</w:t>
      </w:r>
    </w:p>
    <w:p>
      <w:r>
        <w:t>Paper reports NDVI–LST “correlation coefficient” = 0.8825 (Fig. 12).</w:t>
        <w:br/>
        <w:t>Figure shows negative regression slope with R² = 0.8825; therefore 0.8825 appears to be R², not the signed Pearson r.</w:t>
        <w:br/>
        <w:t>NDVI–LST agreement is not independent validation against ground-measured temperature.</w:t>
      </w:r>
    </w:p>
    <w:p>
      <w:pPr>
        <w:pStyle w:val="Heading2"/>
      </w:pPr>
      <w:r>
        <w:t>23. Historical LULC Findings</w:t>
      </w:r>
    </w:p>
    <w:p>
      <w:r>
        <w:t>Camp-core domain (~24 km²):</w:t>
        <w:br/>
        <w:t>Settlement: 5.28% (1997) → 11.91% (2017) → 70.09% (2022); ≈17.13 km² settlement in 2022.</w:t>
        <w:br/>
        <w:t>Vegetation: 70.26% (1997) → 52.88% (2017) → 9.73% (2022).</w:t>
        <w:br/>
        <w:t>Water 2022: 2.92%; barren land ≈16.5%.</w:t>
        <w:br/>
        <w:t>Discussion states ≈14.5 km² evergreen forest loss in the camp landscape — terminology warning: classification class is broad vegetation, not a validated evergreen-forest class.</w:t>
      </w:r>
    </w:p>
    <w:p>
      <w:pPr>
        <w:pStyle w:val="Heading2"/>
      </w:pPr>
      <w:r>
        <w:t>24. Historical LST Findings</w:t>
      </w:r>
    </w:p>
    <w:p>
      <w:r>
        <w:t>Mean January LST (camp-focused analysis):</w:t>
        <w:br/>
        <w:t>1997 = 18.86°C; 2017 = 21.31°C; 2022 = 25.94°C.</w:t>
        <w:br/>
        <w:t>Change: 1997–2017 +2.45°C; 2017–2022 +4.63°C.</w:t>
        <w:br/>
        <w:t>26–28°C area: 0.11% (2017) → 40.84% (2022).</w:t>
        <w:br/>
        <w:t>Above 28°C: 0% (2017) → 5.01% (2022).</w:t>
        <w:br/>
        <w:t>Association with vegetation/water decline and settlement growth is observational, not causal.</w:t>
      </w:r>
    </w:p>
    <w:p>
      <w:pPr>
        <w:pStyle w:val="Heading2"/>
      </w:pPr>
      <w:r>
        <w:t>25. Post-2017 Camp Expansion</w:t>
      </w:r>
    </w:p>
    <w:p>
      <w:r>
        <w:t>Authors emphasise limited change 1997–2017 then abrupt post-2017 settlement surge (~60 percentage-point rise in camp-area settlement share by 2022) with vegetation collapse and sharp LST rise.</w:t>
      </w:r>
    </w:p>
    <w:p>
      <w:pPr>
        <w:pStyle w:val="Heading2"/>
      </w:pPr>
      <w:r>
        <w:t>26. 2028 and 2034 LULC Prediction</w:t>
      </w:r>
    </w:p>
    <w:p>
      <w:r>
        <w:t>Wider Ukhiya–Teknaf domain:</w:t>
        <w:br/>
        <w:t>Settlement: 2018 = 5.77%; 2022 = 4.97%; 2028 = 7.98%; 2034 = 11.63%.</w:t>
        <w:br/>
        <w:t>(Note 2018→2022 settlement decline before future rise — preserve as reported.)</w:t>
        <w:br/>
        <w:t>Vegetation: 2022 = 56.80% → 2034 = 54.42%; ≈14 km² vegetation loss by 2034.</w:t>
        <w:br/>
        <w:t>Water: 13.28% → 12.72%; barren: 24.95% → 21.22%.</w:t>
        <w:br/>
        <w:t>Scenario projections from post-2017 transition structure; not causal forecasts.</w:t>
      </w:r>
    </w:p>
    <w:p>
      <w:pPr>
        <w:pStyle w:val="Heading2"/>
      </w:pPr>
      <w:r>
        <w:t>27. 2028 and 2034 LST Prediction</w:t>
      </w:r>
    </w:p>
    <w:p>
      <w:r>
        <w:t>Area above 24°C: 2022 ≈ 13%; 2028 ≈ 17%; 2034 ≈ 21%.</w:t>
        <w:br/>
        <w:t>Above 28°C: 0.37% → 1.47% → 2.39%.</w:t>
        <w:br/>
        <w:t>24–26°C: 11.43% → 12.53% → 15.81%.</w:t>
      </w:r>
    </w:p>
    <w:p>
      <w:pPr>
        <w:pStyle w:val="Heading2"/>
      </w:pPr>
      <w:r>
        <w:t>28. Forest and Vegetation Implications</w:t>
      </w:r>
    </w:p>
    <w:p>
      <w:r>
        <w:t>Broad vegetation decline in camp core and predicted upazila vegetation loss.</w:t>
        <w:br/>
        <w:t>≈14.5 km² “evergreen forest” discussion claim must be flagged as not matching the four-class definition.</w:t>
        <w:br/>
        <w:t>Cannot directly pool with forest-specific studies without class caveats.</w:t>
      </w:r>
    </w:p>
    <w:p>
      <w:pPr>
        <w:pStyle w:val="Heading2"/>
      </w:pPr>
      <w:r>
        <w:t>29. Wildlife and Ecosystem Implications</w:t>
      </w:r>
    </w:p>
    <w:p>
      <w:r>
        <w:t>Authors link vegetation/forest loss to Asian elephant migration-route disruption, human–elephant conflict, and broader ecosystem degradation around camps.</w:t>
      </w:r>
    </w:p>
    <w:p>
      <w:pPr>
        <w:pStyle w:val="Heading2"/>
      </w:pPr>
      <w:r>
        <w:t>30. Authors’ Interpretation</w:t>
      </w:r>
    </w:p>
    <w:p>
      <w:r>
        <w:t>Post-2017 camp construction drove settlement expansion, vegetation loss and LST increase.</w:t>
        <w:br/>
        <w:t>Future CA–ANN scenarios imply continued settlement growth and warming under continuation of post-influx transitions.</w:t>
        <w:br/>
        <w:t>Authors attribute predicted settlement expansion to the Rohingya influx without a counterfactual design.</w:t>
      </w:r>
    </w:p>
    <w:p>
      <w:pPr>
        <w:pStyle w:val="Heading2"/>
      </w:pPr>
      <w:r>
        <w:t>31. Author-Stated Limitations</w:t>
      </w:r>
    </w:p>
    <w:p>
      <w:r>
        <w:t>CA–ANN needs substantial data; outcomes sensitive to input parameters; requires advanced technical proficiency.</w:t>
        <w:br/>
        <w:t>Reliance on historical trend continuation may not accurately depict future scenarios (citing Li &amp; Gong, 2016).</w:t>
      </w:r>
    </w:p>
    <w:p>
      <w:pPr>
        <w:pStyle w:val="Heading2"/>
      </w:pPr>
      <w:r>
        <w:t>32. Limitations Identified by Us</w:t>
      </w:r>
    </w:p>
    <w:p>
      <w:r>
        <w:t>• ~Five-year intervals, not annual.</w:t>
        <w:br/>
        <w:t>• Three Landsat generations; incomplete cross-sensor harmonization/reproducibility.</w:t>
        <w:br/>
        <w:t>• Four-class system merges forest/agriculture/grassland — not forest-specific.</w:t>
        <w:br/>
        <w:t>• Iso-cluster unsupervised; formal OA only for 2022.</w:t>
        <w:br/>
        <w:t>• Only 60 Google Earth points; no independent field validation; GE timing may misalign with Landsat dates.</w:t>
        <w:br/>
        <w:t>• NDVI–LST 0.8825 appears to be R² mislabelled as correlation; not ground LST validation.</w:t>
        <w:br/>
        <w:t>• Camp-core vs upazila-wide domains not comparable as percentages.</w:t>
        <w:br/>
        <w:t>• CA–ANN assumes 2018–2020 transition persistence; omits LPG, fencing, restoration, consolidation, policy/economic change.</w:t>
        <w:br/>
        <w:t>• No DiD/matching/SDID/event-study/spillover; no fragmentation, biomass, carbon or uncertainty propagation.</w:t>
        <w:br/>
        <w:t>• Hyperparameters incompletely reported; no temporal holdout beyond 2022 target; no spatial-block validation; no SHAP.</w:t>
      </w:r>
    </w:p>
    <w:p>
      <w:pPr>
        <w:pStyle w:val="Heading2"/>
      </w:pPr>
      <w:r>
        <w:t>33. Numerical and Methodological Inconsistencies</w:t>
      </w:r>
    </w:p>
    <w:p>
      <w:r>
        <w:t>• Table 1 “Landsat 8–9” label for 2017/2018/2020 dates (Landsat 9 not applicable).</w:t>
        <w:br/>
        <w:t>• NDVI–LST R² described as correlation coefficient.</w:t>
        <w:br/>
        <w:t>• Settlement % in upazila domain falls 2018→2022 then rises in forecasts — do not simplify to monotonic rise.</w:t>
        <w:br/>
        <w:t>• Discussion “evergreen forest” 14.5 km² vs broad Vegetation class.</w:t>
        <w:br/>
        <w:t>• Historical camp % vs prediction upazila % must remain separated.</w:t>
      </w:r>
    </w:p>
    <w:p>
      <w:pPr>
        <w:pStyle w:val="Heading2"/>
      </w:pPr>
      <w:r>
        <w:t>34. Relevance to Our Research</w:t>
      </w:r>
    </w:p>
    <w:p>
      <w:r>
        <w:t>High.</w:t>
        <w:br/>
        <w:t>Long multi-date (1997–2022) camp thermal and settlement evidence; CA–ANN prediction precedent.</w:t>
        <w:br/>
        <w:t>Supports Decisions 013 (prediction ≠ causal) and 016 (spatial-domain consistency).</w:t>
        <w:br/>
        <w:t>Useful comparator for proposed ML prediction component, but lacks SHAP and spatial/temporal validation standards we require.</w:t>
      </w:r>
    </w:p>
    <w:p>
      <w:pPr>
        <w:pStyle w:val="Heading2"/>
      </w:pPr>
      <w:r>
        <w:t>35. Research Gap</w:t>
      </w:r>
    </w:p>
    <w:p>
      <w:r>
        <w:t>P013 provides a long multi-date perspective on settlement, vegetation and land-surface-temperature change and demonstrates CA–ANN-based scenario prediction.</w:t>
      </w:r>
    </w:p>
    <w:p>
      <w:r>
        <w:t>However, it does not provide annual forest-specific outcomes, formal fragmentation metrics, above-ground carbon accounting, counterfactual causal attribution, time-varying camp exposure, spatial-block validation, explainable driver analysis or uncertainty propagation.</w:t>
      </w:r>
    </w:p>
    <w:p>
      <w:r>
        <w:t>The proposed research will separate: (1) annual historical measurement; (2) SDID causal attribution; (3) predictive risk modelling with temporal/spatial validation; (4) SHAP-based interpretation — and will maintain consistent spatial units or report domains separately.</w:t>
      </w:r>
    </w:p>
    <w:p>
      <w:pPr>
        <w:pStyle w:val="Heading2"/>
      </w:pPr>
      <w:r>
        <w:t>36. Comparison with P004 and P010</w:t>
      </w:r>
    </w:p>
    <w:p>
      <w:r>
        <w:t>vs P004: Both use ML around camps; P013 adds multi-decadal LST and CA–ANN future scenarios; P004 is more short-horizon LULC/ML (partial in our matrix).</w:t>
        <w:br/>
        <w:t>vs P010: P010 focuses on multi-class forest degradation, biomass/carbon and CA–Markov to 2023/2027 on forest beats; P013 uses broad vegetation + LST on camp/upazila domains with CA–ANN to 2028/2034. Complementary thermal vs biomass emphases; neither is causal SDID.</w:t>
      </w:r>
    </w:p>
    <w:p>
      <w:pPr>
        <w:pStyle w:val="Heading2"/>
      </w:pPr>
      <w:r>
        <w:t>37. Planned Use in Literature Review</w:t>
      </w:r>
    </w:p>
    <w:p>
      <w:r>
        <w:t>• Theme Long-Term LULC and Thermal Change: camp settlement/vegetation/LST trajectory 1997–2022.</w:t>
        <w:br/>
        <w:t>• Theme Machine Learning and Prediction: MOLUSCE CA–ANN design and 2028/2034 scenarios with validation caveats.</w:t>
        <w:br/>
        <w:t>• Critical note: descriptive/predictive only; dual domains; vegetation ≠ forest.</w:t>
      </w:r>
    </w:p>
    <w:p>
      <w:pPr>
        <w:pStyle w:val="Heading2"/>
      </w:pPr>
      <w:r>
        <w:t>38. Important Tables and Figures</w:t>
      </w:r>
    </w:p>
    <w:p>
      <w:r>
        <w:t>Table 1 — Landsat dates/sensors and ancillary data</w:t>
        <w:br/>
        <w:t>Table 3 / confusion matrix — 2022 OA/Kappa and class accuracies</w:t>
        <w:br/>
        <w:t>Fig. 1 — study region / elevation</w:t>
        <w:br/>
        <w:t>Figs. 2–4 — LULC, LST, CA–ANN workflows</w:t>
        <w:br/>
        <w:t>Fig. 12 — confusion matrix and NDVI–LST regression</w:t>
        <w:br/>
        <w:t>Figs. 13–17 — future LULC/LST predictions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