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P014 — Full-Text Extraction</w:t>
      </w:r>
    </w:p>
    <w:p>
      <w:pPr>
        <w:pStyle w:val="Heading2"/>
      </w:pPr>
      <w:r>
        <w:t>1. Verified Citation</w:t>
      </w:r>
    </w:p>
    <w:p>
      <w:r>
        <w:t>Gromny, E., Jenerowicz-Sanikowska, M., Haarpaintner, J., Aleksandrowicz, S., Woźniak, E., Pesquer Mayos, L., Chułek, M., Sobczak-Szelc, K., Wawrzaszek, A., Sala, S., Espegren, A., Starczewski, D., &amp; Pawlak, Z. (2024). Remote sensing insights into land cover dynamics and socio-economic Drivers: The case of Mtendeli refugee camp, Tanzania (2016–2022). Remote Sensing Applications: Society and Environment, 36, 101334. https://doi.org/10.1016/j.rsase.2024.101334</w:t>
      </w:r>
    </w:p>
    <w:p>
      <w:r>
        <w:t>Thirteen authors as listed above. Comparative Tanzania study — not Cox’s Bazar.</w:t>
      </w:r>
    </w:p>
    <w:p>
      <w:pPr>
        <w:pStyle w:val="Heading2"/>
      </w:pPr>
      <w:r>
        <w:t>2. Publication and Access Status</w:t>
      </w:r>
    </w:p>
    <w:p>
      <w:r>
        <w:t>Research Article; peer reviewed: Yes.</w:t>
        <w:br/>
        <w:t>Available online: 10 September 2024. Volume 36, article 101334 (November 2024 issue listing).</w:t>
        <w:br/>
        <w:t>Open Access — CC BY-NC 4.0.</w:t>
        <w:br/>
        <w:t>Full article text reviewed from author-uploaded ResearchGate public full text (publication 383935650); ScienceDirect OA metadata/abstract confirmed. Binary PDF to be archived when download succeeds.</w:t>
      </w:r>
    </w:p>
    <w:p>
      <w:pPr>
        <w:pStyle w:val="Heading2"/>
      </w:pPr>
      <w:r>
        <w:t>3. Research Objectives</w:t>
      </w:r>
    </w:p>
    <w:p>
      <w:r>
        <w:t>Present the scope and dynamics of environmental change around Mtendeli refugee camp.</w:t>
        <w:br/>
        <w:t>Combine high-resolution EO (Sentinel-1&amp;2) with ground observations and local-expert input.</w:t>
        <w:br/>
        <w:t>Produce annual LU/LC time series; quantify main transitions and trends.</w:t>
        <w:br/>
        <w:t>Track changes and socio-economic drivers over the camp lifetime (2016–2021) and post-closure (2022).</w:t>
        <w:br/>
        <w:t>Support identification of environmental-risk areas for sustainable land management.</w:t>
      </w:r>
    </w:p>
    <w:p>
      <w:pPr>
        <w:pStyle w:val="Heading2"/>
      </w:pPr>
      <w:r>
        <w:t>4. Research Questions</w:t>
      </w:r>
    </w:p>
    <w:p>
      <w:r>
        <w:t>Implicit framing: What land-cover transitions occurred annually around Mtendeli during operation and after closure?</w:t>
        <w:br/>
        <w:t>How do change intensity and type vary with distance from the camp?</w:t>
        <w:br/>
        <w:t>Which socio-economic processes (fuelwood, cropland, markets, labour, fire, restoration) help explain observed transitions?</w:t>
      </w:r>
    </w:p>
    <w:p>
      <w:pPr>
        <w:pStyle w:val="Heading2"/>
      </w:pPr>
      <w:r>
        <w:t>5. Study Area</w:t>
      </w:r>
    </w:p>
    <w:p>
      <w:r>
        <w:t>Mtendeli Refugee Camp (MRC) and surrounding landscape, Kigoma Region, north-western Tanzania (Kibondo area).</w:t>
        <w:br/>
        <w:t>Tropical climate with dry season June–September.</w:t>
      </w:r>
    </w:p>
    <w:p>
      <w:pPr>
        <w:pStyle w:val="Heading2"/>
      </w:pPr>
      <w:r>
        <w:t>6. Refugee-Camp Context</w:t>
      </w:r>
    </w:p>
    <w:p>
      <w:r>
        <w:t>Opened for Burundian refugees; accommodated over 50,000 persons at peak.</w:t>
        <w:br/>
        <w:t>At closure housed 26,597 refugees who were repatriated or relocated to Nduta camp (UNHCR 2021).</w:t>
      </w:r>
    </w:p>
    <w:p>
      <w:pPr>
        <w:pStyle w:val="Heading2"/>
      </w:pPr>
      <w:r>
        <w:t>7. Camp Lifecycle</w:t>
      </w:r>
    </w:p>
    <w:p>
      <w:r>
        <w:t>Opened: 2016</w:t>
        <w:br/>
        <w:t>Peak development/population: 2017</w:t>
        <w:br/>
        <w:t>Operating period: 2016–2021</w:t>
        <w:br/>
        <w:t>Closed: December 2021</w:t>
        <w:br/>
        <w:t>Post-closure observation: 2022</w:t>
      </w:r>
    </w:p>
    <w:p>
      <w:pPr>
        <w:pStyle w:val="Heading2"/>
      </w:pPr>
      <w:r>
        <w:t>8. Analysis Extent</w:t>
      </w:r>
    </w:p>
    <w:p>
      <w:r>
        <w:t>Remote-sensing AOI: 40 km × 40 km polygon centred on the camp (extending ~20 km from camp centre).</w:t>
      </w:r>
    </w:p>
    <w:p>
      <w:pPr>
        <w:pStyle w:val="Heading2"/>
      </w:pPr>
      <w:r>
        <w:t>9. Distance Buffers</w:t>
      </w:r>
    </w:p>
    <w:p>
      <w:r>
        <w:t>1. Camp area — approximately 2 km radius</w:t>
        <w:br/>
        <w:t>2. 0–5 km buffer outside the camp</w:t>
        <w:br/>
        <w:t>3. 5–10 km buffer</w:t>
        <w:br/>
        <w:t>4. 10–15 km buffer</w:t>
        <w:br/>
        <w:t>Used to test whether intensity/type of land-cover change declines with distance.</w:t>
      </w:r>
    </w:p>
    <w:p>
      <w:pPr>
        <w:pStyle w:val="Heading2"/>
      </w:pPr>
      <w:r>
        <w:t>10. Study Period</w:t>
      </w:r>
    </w:p>
    <w:p>
      <w:r>
        <w:t>Annual land-cover maps: 2016–2022 (seven annual 10 m maps).</w:t>
        <w:br/>
        <w:t>Camp-operation change: 2016–2021; post-closure: 2021–2022.</w:t>
        <w:br/>
        <w:t>Field validation: July 2022.</w:t>
      </w:r>
    </w:p>
    <w:p>
      <w:pPr>
        <w:pStyle w:val="Heading2"/>
      </w:pPr>
      <w:r>
        <w:t>11. Sentinel-1 Dataset</w:t>
      </w:r>
    </w:p>
    <w:p>
      <w:r>
        <w:t>Ground Range Detected SAR at 10 m; VV and VH.</w:t>
        <w:br/>
        <w:t>S1A and S1B for 2017–2021; S1A only for 2022.</w:t>
        <w:br/>
        <w:t>Processing: geocoding, radiometric calibration, terrain/slope correction with 1-arc SRTM.</w:t>
        <w:br/>
        <w:t>Temporal aggregation: quarterly γ⁰ backscatter mosaics (Q1–Q4) to reduce speckle and isolated events.</w:t>
      </w:r>
    </w:p>
    <w:p>
      <w:pPr>
        <w:pStyle w:val="Heading2"/>
      </w:pPr>
      <w:r>
        <w:t>12. Sentinel-2 Dataset</w:t>
      </w:r>
    </w:p>
    <w:p>
      <w:r>
        <w:t>Approximately 10–15 low-cloud images per year covering dry and rainy seasons.</w:t>
        <w:br/>
        <w:t>10 m and 20 m bands; Sen2Cor v02.05.05 atmospheric correction.</w:t>
        <w:br/>
        <w:t>Cloud, cloud-shadow, abnormal-pixel removal; burned-area masks.</w:t>
      </w:r>
    </w:p>
    <w:p>
      <w:pPr>
        <w:pStyle w:val="Heading2"/>
      </w:pPr>
      <w:r>
        <w:t>13. Landsat-8 Supplement</w:t>
      </w:r>
    </w:p>
    <w:p>
      <w:r>
        <w:t>Surface-reflectance Landsat-8 used to supplement Sentinel-2 for 2016 when cloud-free S2 coverage was limited.</w:t>
        <w:br/>
        <w:t>Introduces a sensor-composition difference for that year.</w:t>
      </w:r>
    </w:p>
    <w:p>
      <w:pPr>
        <w:pStyle w:val="Heading2"/>
      </w:pPr>
      <w:r>
        <w:t>14. SRTM and Ancillary Data</w:t>
      </w:r>
    </w:p>
    <w:p>
      <w:r>
        <w:t>SRTM 1-arc-second DEM for SAR terrain correction.</w:t>
        <w:br/>
        <w:t>OpenStreetMap built-up data; RapidEye contextual imagery; UNHCR population factsheets; agricultural-production statistics; NGO/institutional reports.</w:t>
      </w:r>
    </w:p>
    <w:p>
      <w:pPr>
        <w:pStyle w:val="Heading2"/>
      </w:pPr>
      <w:r>
        <w:t>15. WorldCover Training Reference</w:t>
      </w:r>
    </w:p>
    <w:p>
      <w:r>
        <w:t>Primary reference: ESA WorldCover 2020 (released 20 Oct 2021).</w:t>
        <w:br/>
        <w:t>Chosen for temporal scale and LCCS-aligned legend; used as starting point then filtered/locally adapted.</w:t>
      </w:r>
    </w:p>
    <w:p>
      <w:pPr>
        <w:pStyle w:val="Heading2"/>
      </w:pPr>
      <w:r>
        <w:t>16. Local Adaptation of the Legend</w:t>
      </w:r>
    </w:p>
    <w:p>
      <w:r>
        <w:t>Class descriptions adapted with regional experts and Tanzania UNFCCC land-cover definitions.</w:t>
        <w:br/>
        <w:t>Change masks reduce temporal mismatch between 2020 WorldCover and other classification years.</w:t>
      </w:r>
    </w:p>
    <w:p>
      <w:pPr>
        <w:pStyle w:val="Heading2"/>
      </w:pPr>
      <w:r>
        <w:t>17. Land-Cover Classes</w:t>
      </w:r>
    </w:p>
    <w:p>
      <w:r>
        <w:t>Table 3 initial legend (2016–2021):</w:t>
        <w:br/>
        <w:t>1. Open water — permanent</w:t>
        <w:br/>
        <w:t>2. Tree cover</w:t>
        <w:br/>
        <w:t>3. Shrub</w:t>
        <w:br/>
        <w:t>4. Grassland</w:t>
        <w:br/>
        <w:t>5. Vegetation regularly flooded</w:t>
        <w:br/>
        <w:t>6. Cropland</w:t>
        <w:br/>
        <w:t>7. Artificial surfaces</w:t>
        <w:br/>
        <w:t>8. Bare areas</w:t>
      </w:r>
    </w:p>
    <w:p>
      <w:pPr>
        <w:pStyle w:val="Heading2"/>
      </w:pPr>
      <w:r>
        <w:t>18. Managed Woody Vegetation Class</w:t>
      </w:r>
    </w:p>
    <w:p>
      <w:r>
        <w:t>Class 9 added only for 2022 to distinguish restoration planting/managed vegetation (e.g. banana plantations) from natural tree cover.</w:t>
        <w:br/>
        <w:t>Direct class-by-class temporal comparisons must separate natural tree cover vs post-closure managed woody vegetation.</w:t>
      </w:r>
    </w:p>
    <w:p>
      <w:pPr>
        <w:pStyle w:val="Heading2"/>
      </w:pPr>
      <w:r>
        <w:t>19. Training-Sample Preparation</w:t>
      </w:r>
    </w:p>
    <w:p>
      <w:r>
        <w:t>NDVI threshold 0.3 to separate natural vegetation from artificial surfaces, bare ground and water.</w:t>
        <w:br/>
        <w:t>Morphological erosion 5 × 5 pixels for large classes.</w:t>
        <w:br/>
        <w:t>Manual additions for bare areas, water, camp artificial surfaces; OSM built-up layer.</w:t>
        <w:br/>
        <w:t>Normally ~1,000 samples per class per image; minimum 50 under cloudy conditions.</w:t>
      </w:r>
    </w:p>
    <w:p>
      <w:pPr>
        <w:pStyle w:val="Heading2"/>
      </w:pPr>
      <w:r>
        <w:t>20. NDVI and Morphological Filtering</w:t>
      </w:r>
    </w:p>
    <w:p>
      <w:r>
        <w:t>NDVI 0.3 thresholding plus morphological erosion as above to refine WorldCover-derived samples.</w:t>
      </w:r>
    </w:p>
    <w:p>
      <w:pPr>
        <w:pStyle w:val="Heading2"/>
      </w:pPr>
      <w:r>
        <w:t>21. Sentinel-1 Preprocessing</w:t>
      </w:r>
    </w:p>
    <w:p>
      <w:r>
        <w:t>As in §11: calibration, geocoding, SRTM terrain/slope correction, quarterly VV/VH γ⁰ mosaics.</w:t>
      </w:r>
    </w:p>
    <w:p>
      <w:pPr>
        <w:pStyle w:val="Heading2"/>
      </w:pPr>
      <w:r>
        <w:t>22. Sentinel-2 Preprocessing</w:t>
      </w:r>
    </w:p>
    <w:p>
      <w:r>
        <w:t>As in §12: Sen2Cor, multi-date seasonal selection, cloud/shadow/abnormal/burn masks.</w:t>
      </w:r>
    </w:p>
    <w:p>
      <w:pPr>
        <w:pStyle w:val="Heading2"/>
      </w:pPr>
      <w:r>
        <w:t>23. Spectral Indices</w:t>
      </w:r>
    </w:p>
    <w:p>
      <w:r>
        <w:t>All normalized Sentinel-2 band-pair indices used as Random Forest inputs alongside original bands and quarterly SAR mosaics.</w:t>
      </w:r>
    </w:p>
    <w:p>
      <w:pPr>
        <w:pStyle w:val="Heading2"/>
      </w:pPr>
      <w:r>
        <w:t>24. Random Forest Classification</w:t>
      </w:r>
    </w:p>
    <w:p>
      <w:r>
        <w:t>Pixel-based supervised Random Forest.</w:t>
        <w:br/>
        <w:t>Classify multiple individual images within each year; produce posterior class probabilities.</w:t>
      </w:r>
    </w:p>
    <w:p>
      <w:pPr>
        <w:pStyle w:val="Heading2"/>
      </w:pPr>
      <w:r>
        <w:t>25. Annual Probability Aggregation</w:t>
      </w:r>
    </w:p>
    <w:p>
      <w:r>
        <w:t>Sum and average valid per-image posterior probabilities by class; assign each pixel to the highest average-probability class.</w:t>
      </w:r>
    </w:p>
    <w:p>
      <w:pPr>
        <w:pStyle w:val="Heading2"/>
      </w:pPr>
      <w:r>
        <w:t>26. Post-Classification Filtering</w:t>
      </w:r>
    </w:p>
    <w:p>
      <w:r>
        <w:t>3 × 3 majority filter to remove isolated pixels.</w:t>
        <w:br/>
        <w:t>Artificial-surface and bare-area classes exempted from the same majority-filter treatment due to small/dispersed footprints.</w:t>
      </w:r>
    </w:p>
    <w:p>
      <w:pPr>
        <w:pStyle w:val="Heading2"/>
      </w:pPr>
      <w:r>
        <w:t>27. Accuracy-Assessment Design</w:t>
      </w:r>
    </w:p>
    <w:p>
      <w:r>
        <w:t>Formal independent accuracy reported for:</w:t>
        <w:br/>
        <w:t>(a) 2020 annual aggregate map; and</w:t>
        <w:br/>
        <w:t>(b) one July 2022 single-image classification.</w:t>
        <w:br/>
        <w:t>Not reported separately for every annual aggregate map 2016–2022.</w:t>
      </w:r>
    </w:p>
    <w:p>
      <w:pPr>
        <w:pStyle w:val="Heading2"/>
      </w:pPr>
      <w:r>
        <w:t>28. 2020 Validation</w:t>
      </w:r>
    </w:p>
    <w:p>
      <w:r>
        <w:t>2,092 stratified random points; visual interpretation of Sentinel-2 and Google Earth.</w:t>
        <w:br/>
        <w:t>Overall accuracy: 83.46%.</w:t>
        <w:br/>
        <w:t>F-score ≥ 0.70 for all classes except shrub (transitional class between grassland and tree cover).</w:t>
      </w:r>
    </w:p>
    <w:p>
      <w:pPr>
        <w:pStyle w:val="Heading2"/>
      </w:pPr>
      <w:r>
        <w:t>29. 2022 Field Validation</w:t>
      </w:r>
    </w:p>
    <w:p>
      <w:r>
        <w:t>July 2022 in-situ points, photographs, coordinates and field descriptions.</w:t>
        <w:br/>
        <w:t>Overall accuracy: 82.0%; F-score &gt; 0.75 for all classes except grassland.</w:t>
        <w:br/>
        <w:t>Tree cover confused with managed woody vegetation; flooded vegetation incompletely field-validated due to inaccessibility.</w:t>
      </w:r>
    </w:p>
    <w:p>
      <w:pPr>
        <w:pStyle w:val="Heading2"/>
      </w:pPr>
      <w:r>
        <w:t>30. Annual LULC Findings</w:t>
      </w:r>
    </w:p>
    <w:p>
      <w:r>
        <w:t>Seven annual maps show cropland expansion 2016–2021 at the expense of natural vegetation classes, then post-closure recovery signals in 2022.</w:t>
        <w:br/>
        <w:t>Most intensive change in camp and nearest surroundings; intensity generally declines with distance.</w:t>
      </w:r>
    </w:p>
    <w:p>
      <w:pPr>
        <w:pStyle w:val="Heading2"/>
      </w:pPr>
      <w:r>
        <w:t>31. Camp-Development Findings</w:t>
      </w:r>
    </w:p>
    <w:p>
      <w:r>
        <w:t>Artificial surfaces in the camp increased by more than 26 percentage points in 2017, coinciding with full establishment and peak population.</w:t>
        <w:br/>
        <w:t>During 2016–2021, more than 20% of the camp and closest surrounding area experienced significant land-cover transformation.</w:t>
      </w:r>
    </w:p>
    <w:p>
      <w:pPr>
        <w:pStyle w:val="Heading2"/>
      </w:pPr>
      <w:r>
        <w:t>32. Distance-Decay Findings</w:t>
      </w:r>
    </w:p>
    <w:p>
      <w:r>
        <w:t>Most intensive change: camp and immediate surroundings.</w:t>
        <w:br/>
        <w:t>Strongest vulnerability: approximately within 2 km.</w:t>
        <w:br/>
        <w:t>Detected wider influence: up to approximately 10 km.</w:t>
        <w:br/>
        <w:t>10–15 km zone still showed cropland expansion and tree/shrub decline, but fewer transitions than nearer zones.</w:t>
      </w:r>
    </w:p>
    <w:p>
      <w:pPr>
        <w:pStyle w:val="Heading2"/>
      </w:pPr>
      <w:r>
        <w:t>33. Tree-Cover and Shrub Findings</w:t>
      </w:r>
    </w:p>
    <w:p>
      <w:r>
        <w:t>2016–2017 establishment phase removed nearly half of tree cover around the camp (combined satellite and expert interpretation).</w:t>
        <w:br/>
        <w:t>Across the full analysed area, tree-cover conversion (and related natural-vegetation loss) affected approximately 6% of the terrain during 2016–2021.</w:t>
      </w:r>
    </w:p>
    <w:p>
      <w:pPr>
        <w:pStyle w:val="Heading2"/>
      </w:pPr>
      <w:r>
        <w:t>34. Cropland Expansion</w:t>
      </w:r>
    </w:p>
    <w:p>
      <w:r>
        <w:t>Cropland expanded systematically after 2018 across analysed buffers.</w:t>
        <w:br/>
        <w:t>Major conversions: shrub → cropland; grassland → cropland; tree cover → cropland.</w:t>
      </w:r>
    </w:p>
    <w:p>
      <w:pPr>
        <w:pStyle w:val="Heading2"/>
      </w:pPr>
      <w:r>
        <w:t>35. Fuelwood and Charcoal Drivers</w:t>
      </w:r>
    </w:p>
    <w:p>
      <w:r>
        <w:t>Initially permitted dead-wood collection within ~4 km of the camp.</w:t>
        <w:br/>
        <w:t>Later reported walks of up to ~10–12 km (key informants); satellite distance pattern interpreted as consistent.</w:t>
        <w:br/>
        <w:t>Host-community firewood dependence also noted (local investment-profile statistics).</w:t>
      </w:r>
    </w:p>
    <w:p>
      <w:pPr>
        <w:pStyle w:val="Heading2"/>
      </w:pPr>
      <w:r>
        <w:t>36. Fire and Soil-Degradation Drivers</w:t>
      </w:r>
    </w:p>
    <w:p>
      <w:r>
        <w:t>Bushfire / burning undergrowth observed in field (July 2022).</w:t>
        <w:br/>
        <w:t>Camp construction linked to soil erosion and reduced fertility in cited/expert accounts; ring-barking mentioned as a tree-killing practice.</w:t>
      </w:r>
    </w:p>
    <w:p>
      <w:pPr>
        <w:pStyle w:val="Heading2"/>
      </w:pPr>
      <w:r>
        <w:t>37. Camp Closure</w:t>
      </w:r>
    </w:p>
    <w:p>
      <w:r>
        <w:t>Closed December 2021; 2022 maps capture immediate post-closure landscape.</w:t>
      </w:r>
    </w:p>
    <w:p>
      <w:pPr>
        <w:pStyle w:val="Heading2"/>
      </w:pPr>
      <w:r>
        <w:t>38. Natural Succession</w:t>
      </w:r>
    </w:p>
    <w:p>
      <w:r>
        <w:t>Post-closure: substantial reduction in cropland inside/near camp; conversion of former cropland to grassland and shrub; natural vegetation succession.</w:t>
        <w:br/>
        <w:t>Approximate natural-vegetation increase: nearly 50% of camp area and ~15% of closest surrounding zone.</w:t>
      </w:r>
    </w:p>
    <w:p>
      <w:pPr>
        <w:pStyle w:val="Heading2"/>
      </w:pPr>
      <w:r>
        <w:t>39. Managed Restoration</w:t>
      </w:r>
    </w:p>
    <w:p>
      <w:r>
        <w:t>Managed woody vegetation appears in 2022 (restoration planting / managed vegetation programmes, e.g. REDESO).</w:t>
        <w:br/>
        <w:t>Together with tree cover, shrubs and grassland, managed woody vegetation contributed to almost 80% cover of the former camp area in 2022.</w:t>
        <w:br/>
        <w:t>Early vegetation return ≠ recovery of mature forest structure or carbon stock.</w:t>
      </w:r>
    </w:p>
    <w:p>
      <w:pPr>
        <w:pStyle w:val="Heading2"/>
      </w:pPr>
      <w:r>
        <w:t>40. Qualitative Interviews</w:t>
      </w:r>
    </w:p>
    <w:p>
      <w:r>
        <w:t>Semi-structured key-informant / local-expert interviews triangulated satellite transitions (fuelwood distances, kitchen gardens, banana trees, agricultural practices, restoration).</w:t>
      </w:r>
    </w:p>
    <w:p>
      <w:pPr>
        <w:pStyle w:val="Heading2"/>
      </w:pPr>
      <w:r>
        <w:t>41. Driver Triangulation</w:t>
      </w:r>
    </w:p>
    <w:p>
      <w:r>
        <w:t>Interpreted drivers: camp establishment; agricultural demand; cassava-price incentives; shifting cultivation; cheap labour; transfer of agricultural knowledge; fuelwood/charcoal; bushfire; road development.</w:t>
        <w:br/>
        <w:t>Links cropland expansion to both refugee and host-community economic activity — not only direct camp clearing.</w:t>
        <w:br/>
        <w:t>Causal warning: interviews explain plausible mechanisms but do not provide counterfactual attribution.</w:t>
      </w:r>
    </w:p>
    <w:p>
      <w:pPr>
        <w:pStyle w:val="Heading2"/>
      </w:pPr>
      <w:r>
        <w:t>42. Author-Stated Limitations</w:t>
      </w:r>
    </w:p>
    <w:p>
      <w:r>
        <w:t>Authors specifically identify vegetation-class confusion (especially shrub/grassland/tree/managed woody) and the inability of 10 m imagery to map small internal camp features (kitchen gardens, individual banana trees).</w:t>
      </w:r>
    </w:p>
    <w:p>
      <w:pPr>
        <w:pStyle w:val="Heading2"/>
      </w:pPr>
      <w:r>
        <w:t>43. Limitations Identified by Us</w:t>
      </w:r>
    </w:p>
    <w:p>
      <w:r>
        <w:t>• Series begins in 2016 after construction started — no long pre-camp baseline.</w:t>
        <w:br/>
        <w:t>• Only seven annual years.</w:t>
        <w:br/>
        <w:t>• Independent accuracy only for 2020 annual map and July 2022 single image.</w:t>
        <w:br/>
        <w:t>• WorldCover-2020 training transferred across years; change masks may not eliminate temporal bias.</w:t>
        <w:br/>
        <w:t>• 2022 legend change (managed woody vegetation) complicates direct temporal comparison.</w:t>
        <w:br/>
        <w:t>• Interannual weather/phenology may create apparent grass/shrub/tree fluctuations.</w:t>
        <w:br/>
        <w:t>• Landsat-8 only supplements 2016 — sensor-composition difference.</w:t>
        <w:br/>
        <w:t>• Distance buffers approximate exposure; not time-varying routes.</w:t>
        <w:br/>
        <w:t>• Interviews subject to selection/recall/interpretation bias; no household-probability survey or direct fuelwood measurement.</w:t>
        <w:br/>
        <w:t>• No counterfactual DiD/SDID/matching/event study; no fragmentation, biomass, carbon, CO₂e or uncertainty propagation; spatial autocorrelation not in inference.</w:t>
      </w:r>
    </w:p>
    <w:p>
      <w:pPr>
        <w:pStyle w:val="Heading2"/>
      </w:pPr>
      <w:r>
        <w:t>44. Relevance to Our Research</w:t>
      </w:r>
    </w:p>
    <w:p>
      <w:r>
        <w:t>High — comparative annual multi-sensor method, distance-gradient diagnostics, mixed-method driver triangulation, and post-closure restoration evidence.</w:t>
        <w:br/>
        <w:t>Not direct Cox’s Bazar empirical evidence.</w:t>
        <w:br/>
        <w:t>Supports Decision 017 (driver triangulation hierarchy) and Decision 012 (recovery phases).</w:t>
      </w:r>
    </w:p>
    <w:p>
      <w:pPr>
        <w:pStyle w:val="Heading2"/>
      </w:pPr>
      <w:r>
        <w:t>45. Research Gap</w:t>
      </w:r>
    </w:p>
    <w:p>
      <w:r>
        <w:t>P014 already demonstrates annual multi-sensor land-cover classification, distance-gradient analysis, field validation, expert interviews, camp-lifecycle monitoring and post-closure restoration assessment.</w:t>
      </w:r>
    </w:p>
    <w:p>
      <w:r>
        <w:t>Therefore, the proposed Cox’s Bazar study cannot claim novelty merely from producing annual refugee-landscape maps; using Sentinel-1/2 together; analysing distance from camps; identifying socioeconomic drivers; or examining a recovery phase.</w:t>
      </w:r>
    </w:p>
    <w:p>
      <w:r>
        <w:t>It must extend via: (1) 2001–2025 annual panel; (2) clean 2001–2016 pre-treatment; (3) time-varying camp exposure; (4) matched donor-pool SDID; (5) spillover/dependence diagnostics; (6) annual fragmentation; (7) attributable AGB/carbon loss; (8) uncertainty propagation; (9) separate SHAP prediction; (10) conservation-priority mapping.</w:t>
      </w:r>
    </w:p>
    <w:p>
      <w:pPr>
        <w:pStyle w:val="Heading2"/>
      </w:pPr>
      <w:r>
        <w:t>46. Comparison with P009</w:t>
      </w:r>
    </w:p>
    <w:p>
      <w:r>
        <w:t>P009 (Langer et al. 2015) is a short Landsat-based Lukole camp monitoring/restoration note with limited quantification.</w:t>
        <w:br/>
        <w:t>P014 provides a full annual 2016–2022 multi-sensor RF pipeline, distance buffers, quantitative transitions, field validation and interviews — a much stronger comparative lifecycle benchmark.</w:t>
      </w:r>
    </w:p>
    <w:p>
      <w:pPr>
        <w:pStyle w:val="Heading2"/>
      </w:pPr>
      <w:r>
        <w:t>47. Comparison with P006 and P008</w:t>
      </w:r>
    </w:p>
    <w:p>
      <w:r>
        <w:t>vs P006 (Mitra fragmentation): P014 has annual LC but no formal fragmentation metrics; P006 is Cox’s Bazar fragmentation-focused.</w:t>
        <w:br/>
        <w:t>vs P008 (Salemi causal LC): P008 uses Dynamic World + matching/event-study causal design for Cox’s Bazar; P014 is richer annual multi-sensor descriptive + qualitative triangulation but without counterfactual attribution.</w:t>
        <w:br/>
        <w:t>Together: P014 = methodological/lifecycle comparator; P008 = closest causal LC precedent for our SDID agenda.</w:t>
      </w:r>
    </w:p>
    <w:p>
      <w:pPr>
        <w:pStyle w:val="Heading2"/>
      </w:pPr>
      <w:r>
        <w:t>48. Planned Use in Literature Review</w:t>
      </w:r>
    </w:p>
    <w:p>
      <w:r>
        <w:t>• Theme Comparative Refugee Environmental Studies: annual lifecycle + distance decay.</w:t>
        <w:br/>
        <w:t>• Theme Socioeconomic Drivers: fuelwood, cropland, host–refugee interaction.</w:t>
        <w:br/>
        <w:t>• Theme Restoration and Recovery: post-closure managed woody vegetation.</w:t>
        <w:br/>
        <w:t>• Critical note: strong descriptive/mixed-method evidence, not causal.</w:t>
      </w:r>
    </w:p>
    <w:p>
      <w:pPr>
        <w:pStyle w:val="Heading2"/>
      </w:pPr>
      <w:r>
        <w:t>49. Important Tables and Figures</w:t>
      </w:r>
    </w:p>
    <w:p>
      <w:r>
        <w:t>Table 3 — land-cover legend (2016–2021 + 2022 managed woody)</w:t>
        <w:br/>
        <w:t>Table 4 — confusion matrices (2020 annual; July 2022 single image)</w:t>
        <w:br/>
        <w:t>Table 5 — transition/area-change summaries by zone</w:t>
        <w:br/>
        <w:t>Fig. 1 — camp location/population; RapidEye context</w:t>
        <w:br/>
        <w:t>Fig. 3 — July 2022 field photographs</w:t>
        <w:br/>
        <w:t>Fig. 4 — camp and distance buffers</w:t>
        <w:br/>
        <w:t>Figs. 7–8 — temporal LU/LC comparisons and class trajectories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