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1A3A5C"/>
          <w:sz w:val="56"/>
          <w:szCs w:val="56"/>
        </w:rPr>
        <w:t xml:space="preserve">BTCUSDT MARKET OBSERVATION</w:t>
      </w:r>
    </w:p>
    <w:p>
      <w:pPr>
        <w:spacing w:after="80" w:before="0"/>
        <w:jc w:val="center"/>
      </w:pPr>
      <w:r>
        <w:rPr>
          <w:rFonts w:ascii="Arial" w:cs="Arial" w:eastAsia="Arial" w:hAnsi="Arial"/>
          <w:b/>
          <w:bCs/>
          <w:color w:val="2E75B6"/>
          <w:sz w:val="36"/>
          <w:szCs w:val="36"/>
        </w:rPr>
        <w:t xml:space="preserve">Research Report &amp; Trading Plan</w:t>
      </w:r>
    </w:p>
    <w:p>
      <w:pPr>
        <w:pBdr>
          <w:bottom w:val="single" w:color="00796B" w:sz="12" w:space="4"/>
        </w:pBdr>
        <w:spacing w:after="240" w:before="0"/>
        <w:jc w:val="center"/>
      </w:pPr>
      <w:r>
        <w:rPr>
          <w:sz w:val="12"/>
          <w:szCs w:val="12"/>
        </w:rPr>
        <w:t xml:space="preserve"> </w:t>
      </w:r>
    </w:p>
    <w:p>
      <w:pPr>
        <w:spacing w:after="80" w:before="80"/>
      </w:pPr>
      <w:r>
        <w:t xml:space="preserve"/>
      </w:r>
    </w:p>
    <w:p>
      <w:pPr>
        <w:spacing w:after="200" w:before="0"/>
        <w:jc w:val="center"/>
      </w:pPr>
      <w:r>
        <w:rPr>
          <w:rFonts w:ascii="Arial" w:cs="Arial" w:eastAsia="Arial" w:hAnsi="Arial"/>
          <w:i/>
          <w:iCs/>
          <w:color w:val="37474F"/>
          <w:sz w:val="24"/>
          <w:szCs w:val="24"/>
        </w:rPr>
        <w:t xml:space="preserve">Empirical Analysis of Volume Profile · Fractal Structure · VWAP Dynamics</w:t>
      </w:r>
    </w:p>
    <w:p>
      <w:pPr>
        <w:spacing w:after="80" w:before="80"/>
      </w:pPr>
      <w:r>
        <w:t xml:space="preserve"/>
      </w:r>
    </w:p>
    <w:p>
      <w:pPr>
        <w:spacing w:after="80" w:before="80"/>
      </w:pPr>
      <w:r>
        <w:t xml:space="preserve"/>
      </w:r>
    </w:p>
    <w:p>
      <w:pPr>
        <w:spacing w:after="80" w:before="0"/>
        <w:jc w:val="center"/>
      </w:pPr>
      <w:r>
        <w:rPr>
          <w:rFonts w:ascii="Arial" w:cs="Arial" w:eastAsia="Arial" w:hAnsi="Arial"/>
          <w:color w:val="555555"/>
          <w:sz w:val="22"/>
          <w:szCs w:val="22"/>
        </w:rPr>
        <w:t xml:space="preserve">Based on: BTCUSDT 1-Minute Kline Data  |  365-Day Analysis Window</w:t>
      </w:r>
    </w:p>
    <w:p>
      <w:pPr>
        <w:spacing w:after="80" w:before="0"/>
        <w:jc w:val="center"/>
      </w:pPr>
      <w:r>
        <w:rPr>
          <w:rFonts w:ascii="Arial" w:cs="Arial" w:eastAsia="Arial" w:hAnsi="Arial"/>
          <w:color w:val="555555"/>
          <w:sz w:val="22"/>
          <w:szCs w:val="22"/>
        </w:rPr>
        <w:t xml:space="preserve">Timeframes Analysed: 1m · 5m · 15m · 1H</w:t>
      </w:r>
    </w:p>
    <w:p>
      <w:pPr>
        <w:spacing w:after="80" w:before="0"/>
        <w:jc w:val="center"/>
      </w:pPr>
      <w:r>
        <w:rPr>
          <w:rFonts w:ascii="Arial" w:cs="Arial" w:eastAsia="Arial" w:hAnsi="Arial"/>
          <w:color w:val="555555"/>
          <w:sz w:val="22"/>
          <w:szCs w:val="22"/>
        </w:rPr>
        <w:t xml:space="preserve">Report Generated: April 2026</w:t>
      </w:r>
    </w:p>
    <w:p>
      <w:pPr>
        <w:spacing w:after="80" w:before="80"/>
      </w:pPr>
      <w:r>
        <w:t xml:space="preserve"/>
      </w:r>
    </w:p>
    <w:p>
      <w:pPr>
        <w:spacing w:after="80" w:before="80"/>
      </w:pPr>
      <w:r>
        <w:t xml:space="preserve"/>
      </w:r>
    </w:p>
    <w:p>
      <w:pPr>
        <w:spacing w:after="0" w:before="80"/>
        <w:jc w:val="center"/>
      </w:pPr>
      <w:r>
        <w:rPr>
          <w:rFonts w:ascii="Arial" w:cs="Arial" w:eastAsia="Arial" w:hAnsi="Arial"/>
          <w:b/>
          <w:bCs/>
          <w:color w:val="C62828"/>
          <w:sz w:val="20"/>
          <w:szCs w:val="20"/>
        </w:rPr>
        <w:t xml:space="preserve">RESEARCH PURPOSE ONLY — NOT FINANCIAL ADVICE</w:t>
      </w:r>
    </w:p>
    <w:p>
      <w:r>
        <w:br w:type="page"/>
      </w:r>
    </w:p>
    <w:p>
      <w:pPr>
        <w:pStyle w:val="Heading1"/>
        <w:pBdr>
          <w:bottom w:val="single" w:color="2E75B6" w:sz="8" w:space="4"/>
        </w:pBdr>
        <w:spacing w:after="160" w:before="400"/>
      </w:pPr>
      <w:r>
        <w:rPr>
          <w:rFonts w:ascii="Arial" w:cs="Arial" w:eastAsia="Arial" w:hAnsi="Arial"/>
          <w:b/>
          <w:bCs/>
          <w:color w:val="1A3A5C"/>
          <w:sz w:val="36"/>
          <w:szCs w:val="36"/>
        </w:rPr>
        <w:t xml:space="preserve">Executive Summary</w:t>
      </w:r>
    </w:p>
    <w:p>
      <w:pPr>
        <w:spacing w:after="80" w:before="80"/>
        <w:jc w:val="left"/>
      </w:pPr>
      <w:r>
        <w:rPr>
          <w:rFonts w:ascii="Arial" w:cs="Arial" w:eastAsia="Arial" w:hAnsi="Arial"/>
          <w:sz w:val="22"/>
          <w:szCs w:val="22"/>
        </w:rPr>
        <w:t xml:space="preserve">This report presents the empirical findings of a systematic, four-phase market observation study conducted on BTCUSDT perpetual futures using 365 days of 1-minute kline data sourced from Binance. The research is explicitly non-predictive in intent — it measures market behaviours rather than formulating trading rules — and is designed to calibrate a downstream strategy notebook.</w:t>
      </w:r>
    </w:p>
    <w:p>
      <w:pPr>
        <w:spacing w:after="80" w:before="80"/>
      </w:pPr>
      <w:r>
        <w:t xml:space="preserve"/>
      </w:r>
    </w:p>
    <w:p>
      <w:pPr>
        <w:spacing w:after="80" w:before="80"/>
        <w:jc w:val="left"/>
      </w:pPr>
      <w:r>
        <w:rPr>
          <w:rFonts w:ascii="Arial" w:cs="Arial" w:eastAsia="Arial" w:hAnsi="Arial"/>
          <w:sz w:val="22"/>
          <w:szCs w:val="22"/>
        </w:rPr>
        <w:t xml:space="preserve">The four research phases examine: (1) Volume Profile and Delta analysis at key price levels, (2) Fractal structure and trend/range characteristics across four timeframes, (3) Volume behaviour at breakout and reversal events, and (4) VWAP dynamics and standard deviation band interactions. Together, they produce a rich empirical dataset that reveals consistent, statistically testable patterns in how Bitcoin price and volume interact across multiple market regimes.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Key Empirical Findings at a Glance</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180"/>
              <w:bottom w:type="dxa" w:w="60"/>
              <w:right w:type="dxa" w:w="180"/>
            </w:tcMar>
          </w:tcPr>
          <w:p>
            <w:r>
              <w:rPr>
                <w:rFonts w:ascii="Arial" w:cs="Arial" w:eastAsia="Arial" w:hAnsi="Arial"/>
                <w:sz w:val="21"/>
                <w:szCs w:val="21"/>
              </w:rPr>
              <w:t xml:space="preserve">  Volume Profile:  HVN and POC levels attract measurable price reaction in the following session with directional delta providing additional edge</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180"/>
              <w:bottom w:type="dxa" w:w="60"/>
              <w:right w:type="dxa" w:w="180"/>
            </w:tcMar>
          </w:tcPr>
          <w:p>
            <w:r>
              <w:rPr>
                <w:rFonts w:ascii="Arial" w:cs="Arial" w:eastAsia="Arial" w:hAnsi="Arial"/>
                <w:sz w:val="21"/>
                <w:szCs w:val="21"/>
              </w:rPr>
              <w:t xml:space="preserve">  Fractal Structure:  Higher timeframes show materially greater directional efficiency than 1m; full multi-TF alignment is rare but statistically significant</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180"/>
              <w:bottom w:type="dxa" w:w="60"/>
              <w:right w:type="dxa" w:w="180"/>
            </w:tcMar>
          </w:tcPr>
          <w:p>
            <w:r>
              <w:rPr>
                <w:rFonts w:ascii="Arial" w:cs="Arial" w:eastAsia="Arial" w:hAnsi="Arial"/>
                <w:sz w:val="21"/>
                <w:szCs w:val="21"/>
              </w:rPr>
              <w:t xml:space="preserve">  Volume at Events:  Genuine breakouts carry statistically higher volume than failed ones; reversal quality also correlates with volume</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180"/>
              <w:bottom w:type="dxa" w:w="60"/>
              <w:right w:type="dxa" w:w="180"/>
            </w:tcMar>
          </w:tcPr>
          <w:p>
            <w:r>
              <w:rPr>
                <w:rFonts w:ascii="Arial" w:cs="Arial" w:eastAsia="Arial" w:hAnsi="Arial"/>
                <w:sz w:val="21"/>
                <w:szCs w:val="21"/>
              </w:rPr>
              <w:t xml:space="preserve">  VWAP:  The 2SD bands produce the largest absolute moves; VWAP+Previous Session HL confluence shows elevated volume and taker aggression</w:t>
            </w:r>
          </w:p>
        </w:tc>
      </w:tr>
    </w:tbl>
    <w:p>
      <w:r>
        <w:br w:type="page"/>
      </w:r>
    </w:p>
    <w:p>
      <w:pPr>
        <w:pStyle w:val="Heading1"/>
        <w:pBdr>
          <w:bottom w:val="single" w:color="2E75B6" w:sz="8" w:space="4"/>
        </w:pBdr>
        <w:spacing w:after="160" w:before="400"/>
      </w:pPr>
      <w:r>
        <w:rPr>
          <w:rFonts w:ascii="Arial" w:cs="Arial" w:eastAsia="Arial" w:hAnsi="Arial"/>
          <w:b/>
          <w:bCs/>
          <w:color w:val="1A3A5C"/>
          <w:sz w:val="36"/>
          <w:szCs w:val="36"/>
        </w:rPr>
        <w:t xml:space="preserve">Section 1: Research Framework &amp; Methodology</w:t>
      </w:r>
    </w:p>
    <w:p>
      <w:pPr>
        <w:pStyle w:val="Heading2"/>
        <w:spacing w:after="120" w:before="320"/>
      </w:pPr>
      <w:r>
        <w:rPr>
          <w:rFonts w:ascii="Arial" w:cs="Arial" w:eastAsia="Arial" w:hAnsi="Arial"/>
          <w:b/>
          <w:bCs/>
          <w:color w:val="2E75B6"/>
          <w:sz w:val="28"/>
          <w:szCs w:val="28"/>
        </w:rPr>
        <w:t xml:space="preserve">1.1 Design Philosophy</w:t>
      </w:r>
    </w:p>
    <w:p>
      <w:pPr>
        <w:spacing w:after="80" w:before="80"/>
        <w:jc w:val="left"/>
      </w:pPr>
      <w:r>
        <w:rPr>
          <w:rFonts w:ascii="Arial" w:cs="Arial" w:eastAsia="Arial" w:hAnsi="Arial"/>
          <w:sz w:val="22"/>
          <w:szCs w:val="22"/>
        </w:rPr>
        <w:t xml:space="preserve">The notebook is built around a strict observe-first principle. No trading signals are generated within the research notebook itself; all outputs are calibration inputs. This separation of observation from decision-making is methodologically sound and prevents overfitting bias — a common failure mode in systematic strategy development.</w:t>
      </w:r>
    </w:p>
    <w:p>
      <w:pPr>
        <w:spacing w:after="80" w:before="80"/>
      </w:pPr>
      <w:r>
        <w:t xml:space="preserve"/>
      </w:r>
    </w:p>
    <w:p>
      <w:pPr>
        <w:spacing w:after="80" w:before="80"/>
        <w:jc w:val="left"/>
      </w:pPr>
      <w:r>
        <w:rPr>
          <w:rFonts w:ascii="Arial" w:cs="Arial" w:eastAsia="Arial" w:hAnsi="Arial"/>
          <w:sz w:val="22"/>
          <w:szCs w:val="22"/>
        </w:rPr>
        <w:t xml:space="preserve">Statistical tests used throughout are non-parametric (Mann-Whitney U, Kruskal-Wallis), which is appropriate for financial return distributions that are fat-tailed and non-Gaussian. This is a notable strength of the methodology.</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1.2 Data Architecture</w:t>
      </w:r>
    </w:p>
    <w:p>
      <w:pPr>
        <w:spacing w:after="80" w:before="80"/>
        <w:jc w:val="left"/>
      </w:pPr>
      <w:r>
        <w:rPr>
          <w:rFonts w:ascii="Arial" w:cs="Arial" w:eastAsia="Arial" w:hAnsi="Arial"/>
          <w:sz w:val="22"/>
          <w:szCs w:val="22"/>
        </w:rPr>
        <w:t xml:space="preserve">The primary data source is the Binance BTCUSDT-1m kline CSV, which includes OHLCV, quote volume, trade count, and taker buy volume fields. The taker buy volume column is particularly important — it enables delta approximation without requiring raw tick data, trading off some precision for a much larger and more accessible dataset.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OHLCV</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Binance 1m Klines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Price structure, ATR, resampling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Taker Buy Volume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Binance 1m Klines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Delta approximation (buy - sell pressure)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Trade Count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Binance 1m Klines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Activity proxy, volume efficiency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AggTrades (optional)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Binance tick data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Precise per-price delta (not required)</w:t>
            </w:r>
          </w:p>
        </w:tc>
      </w:tr>
    </w:tbl>
    <w:p>
      <w:pPr>
        <w:spacing w:after="80" w:before="80"/>
      </w:pPr>
      <w:r>
        <w:t xml:space="preserve"/>
      </w:r>
    </w:p>
    <w:p>
      <w:pPr>
        <w:pStyle w:val="Heading2"/>
        <w:spacing w:after="120" w:before="320"/>
      </w:pPr>
      <w:r>
        <w:rPr>
          <w:rFonts w:ascii="Arial" w:cs="Arial" w:eastAsia="Arial" w:hAnsi="Arial"/>
          <w:b/>
          <w:bCs/>
          <w:color w:val="2E75B6"/>
          <w:sz w:val="28"/>
          <w:szCs w:val="28"/>
        </w:rPr>
        <w:t xml:space="preserve">1.3 Timeframes &amp; Resampling</w:t>
      </w:r>
    </w:p>
    <w:p>
      <w:pPr>
        <w:spacing w:after="80" w:before="80"/>
        <w:jc w:val="left"/>
      </w:pPr>
      <w:r>
        <w:rPr>
          <w:rFonts w:ascii="Arial" w:cs="Arial" w:eastAsia="Arial" w:hAnsi="Arial"/>
          <w:sz w:val="22"/>
          <w:szCs w:val="22"/>
        </w:rPr>
        <w:t xml:space="preserve">All higher timeframes (5m, 15m, 1H) are resampled from the 1m base data using standard OHLCV aggregation. This ensures perfect temporal consistency across timeframes — a critical requirement for the fractal alignment analysis in Phase 2. Four timeframes are analysed: 1m, 5m, 15m, and 1H.</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1.4 Core Derived Metrics</w:t>
      </w:r>
    </w:p>
    <w:p>
      <w:pPr>
        <w:pStyle w:val="ListParagraph"/>
        <w:numPr>
          <w:ilvl w:val="0"/>
          <w:numId w:val="2"/>
        </w:numPr>
        <w:spacing w:after="40" w:before="40"/>
      </w:pPr>
      <w:r>
        <w:rPr>
          <w:rFonts w:ascii="Arial" w:cs="Arial" w:eastAsia="Arial" w:hAnsi="Arial"/>
          <w:sz w:val="22"/>
          <w:szCs w:val="22"/>
        </w:rPr>
        <w:t xml:space="preserve">ATR (14-period EMA of True Range): used as the volatility normaliser throughout all phases</w:t>
      </w:r>
    </w:p>
    <w:p>
      <w:pPr>
        <w:pStyle w:val="ListParagraph"/>
        <w:numPr>
          <w:ilvl w:val="0"/>
          <w:numId w:val="2"/>
        </w:numPr>
        <w:spacing w:after="40" w:before="40"/>
      </w:pPr>
      <w:r>
        <w:rPr>
          <w:rFonts w:ascii="Arial" w:cs="Arial" w:eastAsia="Arial" w:hAnsi="Arial"/>
          <w:sz w:val="22"/>
          <w:szCs w:val="22"/>
        </w:rPr>
        <w:t xml:space="preserve">Relative Volume (vol_rel): bar volume divided by its 20-bar rolling mean — the primary volume strength metric</w:t>
      </w:r>
    </w:p>
    <w:p>
      <w:pPr>
        <w:pStyle w:val="ListParagraph"/>
        <w:numPr>
          <w:ilvl w:val="0"/>
          <w:numId w:val="2"/>
        </w:numPr>
        <w:spacing w:after="40" w:before="40"/>
      </w:pPr>
      <w:r>
        <w:rPr>
          <w:rFonts w:ascii="Arial" w:cs="Arial" w:eastAsia="Arial" w:hAnsi="Arial"/>
          <w:sz w:val="22"/>
          <w:szCs w:val="22"/>
        </w:rPr>
        <w:t xml:space="preserve">Taker Ratio: taker_buy_volume / total_volume — values above 0.5 indicate net buy aggression</w:t>
      </w:r>
    </w:p>
    <w:p>
      <w:pPr>
        <w:pStyle w:val="ListParagraph"/>
        <w:numPr>
          <w:ilvl w:val="0"/>
          <w:numId w:val="2"/>
        </w:numPr>
        <w:spacing w:after="40" w:before="40"/>
      </w:pPr>
      <w:r>
        <w:rPr>
          <w:rFonts w:ascii="Arial" w:cs="Arial" w:eastAsia="Arial" w:hAnsi="Arial"/>
          <w:sz w:val="22"/>
          <w:szCs w:val="22"/>
        </w:rPr>
        <w:t xml:space="preserve">Delta: taker_buy_volume minus taker_sell_volume — net directional order flow per bar</w:t>
      </w:r>
    </w:p>
    <w:p>
      <w:pPr>
        <w:pStyle w:val="ListParagraph"/>
        <w:numPr>
          <w:ilvl w:val="0"/>
          <w:numId w:val="2"/>
        </w:numPr>
        <w:spacing w:after="40" w:before="40"/>
      </w:pPr>
      <w:r>
        <w:rPr>
          <w:rFonts w:ascii="Arial" w:cs="Arial" w:eastAsia="Arial" w:hAnsi="Arial"/>
          <w:sz w:val="22"/>
          <w:szCs w:val="22"/>
        </w:rPr>
        <w:t xml:space="preserve">Delta Z-Score: rolling z-score of delta over 20 bars — used to identify statistically unusual order flow</w:t>
      </w:r>
    </w:p>
    <w:p>
      <w:pPr>
        <w:pStyle w:val="ListParagraph"/>
        <w:numPr>
          <w:ilvl w:val="0"/>
          <w:numId w:val="2"/>
        </w:numPr>
        <w:spacing w:after="40" w:before="40"/>
      </w:pPr>
      <w:r>
        <w:rPr>
          <w:rFonts w:ascii="Arial" w:cs="Arial" w:eastAsia="Arial" w:hAnsi="Arial"/>
          <w:sz w:val="22"/>
          <w:szCs w:val="22"/>
        </w:rPr>
        <w:t xml:space="preserve">Directional Efficiency: |net return| / sum(|bar returns|) — 1.0 = perfect trend, 0 = pure chop</w:t>
      </w:r>
    </w:p>
    <w:p>
      <w:r>
        <w:br w:type="page"/>
      </w:r>
    </w:p>
    <w:p>
      <w:pPr>
        <w:pStyle w:val="Heading1"/>
        <w:pBdr>
          <w:bottom w:val="single" w:color="2E75B6" w:sz="8" w:space="4"/>
        </w:pBdr>
        <w:spacing w:after="160" w:before="400"/>
      </w:pPr>
      <w:r>
        <w:rPr>
          <w:rFonts w:ascii="Arial" w:cs="Arial" w:eastAsia="Arial" w:hAnsi="Arial"/>
          <w:b/>
          <w:bCs/>
          <w:color w:val="1A3A5C"/>
          <w:sz w:val="36"/>
          <w:szCs w:val="36"/>
        </w:rPr>
        <w:t xml:space="preserve">Section 2: Phase 1 Findings — Volume Profile &amp; Delta</w:t>
      </w:r>
    </w:p>
    <w:p>
      <w:pPr>
        <w:pStyle w:val="Heading2"/>
        <w:spacing w:after="120" w:before="320"/>
      </w:pPr>
      <w:r>
        <w:rPr>
          <w:rFonts w:ascii="Arial" w:cs="Arial" w:eastAsia="Arial" w:hAnsi="Arial"/>
          <w:b/>
          <w:bCs/>
          <w:color w:val="2E75B6"/>
          <w:sz w:val="28"/>
          <w:szCs w:val="28"/>
        </w:rPr>
        <w:t xml:space="preserve">2.1 What the Research Measures</w:t>
      </w:r>
    </w:p>
    <w:p>
      <w:pPr>
        <w:spacing w:after="80" w:before="80"/>
        <w:jc w:val="left"/>
      </w:pPr>
      <w:r>
        <w:rPr>
          <w:rFonts w:ascii="Arial" w:cs="Arial" w:eastAsia="Arial" w:hAnsi="Arial"/>
          <w:sz w:val="22"/>
          <w:szCs w:val="22"/>
        </w:rPr>
        <w:t xml:space="preserve">Phase 1 builds a full Volume Profile and Delta Volume Profile for each trading day, then systematically measures what happens when price revisits those levels in the following session. This is the empirical test of whether prior volume structure has predictive value for intraday price behaviour.</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2.2 Key Level Types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POC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Price with highest volume in session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Strongest magnet level — price returns to POC frequently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VAH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Top of 70% value area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Resistance in a bullish context; breakout level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Bottom of 70% value area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Support in a bearish context; breakdown level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HVN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Volume &gt; 2x session median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Areas of prior acceptance — slow price movement expected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LVN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Volume &lt; 0.4x session median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Areas of prior rejection — fast price movement expected</w:t>
            </w:r>
          </w:p>
        </w:tc>
      </w:tr>
    </w:tbl>
    <w:p>
      <w:pPr>
        <w:spacing w:after="80" w:before="80"/>
      </w:pPr>
      <w:r>
        <w:t xml:space="preserve"/>
      </w:r>
    </w:p>
    <w:p>
      <w:pPr>
        <w:pStyle w:val="Heading2"/>
        <w:spacing w:after="120" w:before="320"/>
      </w:pPr>
      <w:r>
        <w:rPr>
          <w:rFonts w:ascii="Arial" w:cs="Arial" w:eastAsia="Arial" w:hAnsi="Arial"/>
          <w:b/>
          <w:bCs/>
          <w:color w:val="2E75B6"/>
          <w:sz w:val="28"/>
          <w:szCs w:val="28"/>
        </w:rPr>
        <w:t xml:space="preserve">2.3 Forward Return by Level Type</w:t>
      </w:r>
    </w:p>
    <w:p>
      <w:pPr>
        <w:spacing w:after="80" w:before="80"/>
        <w:jc w:val="left"/>
      </w:pPr>
      <w:r>
        <w:rPr>
          <w:rFonts w:ascii="Arial" w:cs="Arial" w:eastAsia="Arial" w:hAnsi="Arial"/>
          <w:sz w:val="22"/>
          <w:szCs w:val="22"/>
        </w:rPr>
        <w:t xml:space="preserve">The 30-bar forward return analysis at each level type produces the core calibration numbers for position management. The research reveals the following behavioural patterns when price touches each level type in the next session:</w:t>
      </w:r>
    </w:p>
    <w:p>
      <w:pPr>
        <w:spacing w:after="80" w:before="80"/>
      </w:pPr>
      <w:r>
        <w:t xml:space="preserve"/>
      </w:r>
    </w:p>
    <w:p>
      <w:pPr>
        <w:spacing w:after="80" w:before="80"/>
      </w:pPr>
      <w:r>
        <w:rPr>
          <w:rFonts w:ascii="Arial" w:cs="Arial" w:eastAsia="Arial" w:hAnsi="Arial"/>
          <w:b/>
          <w:bCs/>
          <w:color w:val="2E75B6"/>
          <w:sz w:val="22"/>
          <w:szCs w:val="22"/>
        </w:rPr>
        <w:t xml:space="preserve">POC: </w:t>
      </w:r>
      <w:r>
        <w:rPr>
          <w:rFonts w:ascii="Arial" w:cs="Arial" w:eastAsia="Arial" w:hAnsi="Arial"/>
          <w:sz w:val="22"/>
          <w:szCs w:val="22"/>
        </w:rPr>
        <w:t xml:space="preserve">The Point of Control acts as the most balanced level. When price touches the prior session POC, mean forward returns are close to zero, confirming that the POC is a gravitational centre rather than a directional signal on its own. Volume at POC touches tends to be elevated, confirming that market participants actively re-engage at this level.</w:t>
      </w:r>
    </w:p>
    <w:p>
      <w:pPr>
        <w:spacing w:after="80" w:before="80"/>
      </w:pPr>
      <w:r>
        <w:t xml:space="preserve"/>
      </w:r>
    </w:p>
    <w:p>
      <w:pPr>
        <w:spacing w:after="80" w:before="80"/>
      </w:pPr>
      <w:r>
        <w:rPr>
          <w:rFonts w:ascii="Arial" w:cs="Arial" w:eastAsia="Arial" w:hAnsi="Arial"/>
          <w:b/>
          <w:bCs/>
          <w:color w:val="00796B"/>
          <w:sz w:val="22"/>
          <w:szCs w:val="22"/>
        </w:rPr>
        <w:t xml:space="preserve">VAH/VAL: </w:t>
      </w:r>
      <w:r>
        <w:rPr>
          <w:rFonts w:ascii="Arial" w:cs="Arial" w:eastAsia="Arial" w:hAnsi="Arial"/>
          <w:sz w:val="22"/>
          <w:szCs w:val="22"/>
        </w:rPr>
        <w:t xml:space="preserve">Value Area boundaries show asymmetric behaviour. Price approaching VAH from below (testing the upper edge of prior value) tends to show either continuation above or rejection, depending on the volume and delta at the touch. VAL behaves analogously from the downside. These are the primary entry/exit reference levels for the trading plan.</w:t>
      </w:r>
    </w:p>
    <w:p>
      <w:pPr>
        <w:spacing w:after="80" w:before="80"/>
      </w:pPr>
      <w:r>
        <w:t xml:space="preserve"/>
      </w:r>
    </w:p>
    <w:p>
      <w:pPr>
        <w:spacing w:after="80" w:before="80"/>
      </w:pPr>
      <w:r>
        <w:rPr>
          <w:rFonts w:ascii="Arial" w:cs="Arial" w:eastAsia="Arial" w:hAnsi="Arial"/>
          <w:b/>
          <w:bCs/>
          <w:color w:val="E65100"/>
          <w:sz w:val="22"/>
          <w:szCs w:val="22"/>
        </w:rPr>
        <w:t xml:space="preserve">HVN: </w:t>
      </w:r>
      <w:r>
        <w:rPr>
          <w:rFonts w:ascii="Arial" w:cs="Arial" w:eastAsia="Arial" w:hAnsi="Arial"/>
          <w:sz w:val="22"/>
          <w:szCs w:val="22"/>
        </w:rPr>
        <w:t xml:space="preserve">High Volume Nodes produce the most nuanced signal when combined with delta. An HVN formed with net buying (positive delta) tends to provide support when revisited from above — the 30-bar forward return is directionally positive. An HVN formed with net selling (negative delta) tends to act as resistance when approached from below. This delta-at-HVN distinction is a key edge identified by the research.</w:t>
      </w:r>
    </w:p>
    <w:p>
      <w:pPr>
        <w:spacing w:after="80" w:before="80"/>
      </w:pPr>
      <w:r>
        <w:t xml:space="preserve"/>
      </w:r>
    </w:p>
    <w:p>
      <w:pPr>
        <w:spacing w:after="80" w:before="80"/>
      </w:pPr>
      <w:r>
        <w:rPr>
          <w:rFonts w:ascii="Arial" w:cs="Arial" w:eastAsia="Arial" w:hAnsi="Arial"/>
          <w:b/>
          <w:bCs/>
          <w:color w:val="C62828"/>
          <w:sz w:val="22"/>
          <w:szCs w:val="22"/>
        </w:rPr>
        <w:t xml:space="preserve">LVN: </w:t>
      </w:r>
      <w:r>
        <w:rPr>
          <w:rFonts w:ascii="Arial" w:cs="Arial" w:eastAsia="Arial" w:hAnsi="Arial"/>
          <w:sz w:val="22"/>
          <w:szCs w:val="22"/>
        </w:rPr>
        <w:t xml:space="preserve">Low Volume Nodes are the most actionable levels for momentum entries. Price moves through LVNs quickly because there is little historical acceptance at those prices — both buyers and sellers have little prior commitment there. The research confirms elevated absolute forward returns at LVN touches compared to HVN touches, consistent with the known behaviour that LVNs accelerate price movement.</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2.4 Delta at HVN — Buy vs Sell Delta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96B" w:sz="1"/>
              <w:left w:val="single" w:color="00796B" w:sz="1"/>
              <w:bottom w:val="single" w:color="00796B" w:sz="1"/>
              <w:right w:val="single" w:color="00796B" w:sz="1"/>
            </w:tcBorders>
            <w:shd w:fill="00796B" w:val="clear"/>
            <w:tcMar>
              <w:top w:type="dxa" w:w="100"/>
              <w:left w:type="dxa" w:w="180"/>
              <w:bottom w:type="dxa" w:w="100"/>
              <w:right w:type="dxa" w:w="180"/>
            </w:tcMar>
          </w:tcPr>
          <w:p>
            <w:r>
              <w:rPr>
                <w:rFonts w:ascii="Arial" w:cs="Arial" w:eastAsia="Arial" w:hAnsi="Arial"/>
                <w:b/>
                <w:bCs/>
                <w:color w:val="FFFFFF"/>
                <w:sz w:val="22"/>
                <w:szCs w:val="22"/>
              </w:rPr>
              <w:t xml:space="preserve">Critical Finding: Delta Direction at HVN</w:t>
            </w:r>
          </w:p>
        </w:tc>
      </w:tr>
      <w:tr>
        <w:tc>
          <w:tcPr>
            <w:tcW w:type="dxa" w:w="9360"/>
            <w:tcBorders>
              <w:top w:val="single" w:color="00796B" w:sz="1"/>
              <w:left w:val="single" w:color="00796B" w:sz="1"/>
              <w:bottom w:val="single" w:color="00796B" w:sz="1"/>
              <w:right w:val="single" w:color="00796B" w:sz="1"/>
            </w:tcBorders>
            <w:shd w:fill="E0F2F1" w:val="clear"/>
            <w:tcMar>
              <w:top w:type="dxa" w:w="60"/>
              <w:left w:type="dxa" w:w="180"/>
              <w:bottom w:type="dxa" w:w="60"/>
              <w:right w:type="dxa" w:w="180"/>
            </w:tcMar>
          </w:tcPr>
          <w:p>
            <w:r>
              <w:rPr>
                <w:rFonts w:ascii="Arial" w:cs="Arial" w:eastAsia="Arial" w:hAnsi="Arial"/>
                <w:sz w:val="21"/>
                <w:szCs w:val="21"/>
              </w:rPr>
              <w:t xml:space="preserve">  HVN formed with net BUY delta  →  Acts as support on revisit (positive forward return bias)</w:t>
            </w:r>
          </w:p>
        </w:tc>
      </w:tr>
      <w:tr>
        <w:tc>
          <w:tcPr>
            <w:tcW w:type="dxa" w:w="9360"/>
            <w:tcBorders>
              <w:top w:val="single" w:color="00796B" w:sz="1"/>
              <w:left w:val="single" w:color="00796B" w:sz="1"/>
              <w:bottom w:val="single" w:color="00796B" w:sz="1"/>
              <w:right w:val="single" w:color="00796B" w:sz="1"/>
            </w:tcBorders>
            <w:shd w:fill="E0F2F1" w:val="clear"/>
            <w:tcMar>
              <w:top w:type="dxa" w:w="60"/>
              <w:left w:type="dxa" w:w="180"/>
              <w:bottom w:type="dxa" w:w="60"/>
              <w:right w:type="dxa" w:w="180"/>
            </w:tcMar>
          </w:tcPr>
          <w:p>
            <w:r>
              <w:rPr>
                <w:rFonts w:ascii="Arial" w:cs="Arial" w:eastAsia="Arial" w:hAnsi="Arial"/>
                <w:sz w:val="21"/>
                <w:szCs w:val="21"/>
              </w:rPr>
              <w:t xml:space="preserve">  HVN formed with net SELL delta →  Acts as resistance on revisit (negative forward return bias)</w:t>
            </w:r>
          </w:p>
        </w:tc>
      </w:tr>
      <w:tr>
        <w:tc>
          <w:tcPr>
            <w:tcW w:type="dxa" w:w="9360"/>
            <w:tcBorders>
              <w:top w:val="single" w:color="00796B" w:sz="1"/>
              <w:left w:val="single" w:color="00796B" w:sz="1"/>
              <w:bottom w:val="single" w:color="00796B" w:sz="1"/>
              <w:right w:val="single" w:color="00796B" w:sz="1"/>
            </w:tcBorders>
            <w:shd w:fill="E0F2F1" w:val="clear"/>
            <w:tcMar>
              <w:top w:type="dxa" w:w="60"/>
              <w:left w:type="dxa" w:w="180"/>
              <w:bottom w:type="dxa" w:w="60"/>
              <w:right w:type="dxa" w:w="180"/>
            </w:tcMar>
          </w:tcPr>
          <w:p>
            <w:r>
              <w:rPr>
                <w:rFonts w:ascii="Arial" w:cs="Arial" w:eastAsia="Arial" w:hAnsi="Arial"/>
                <w:sz w:val="21"/>
                <w:szCs w:val="21"/>
              </w:rPr>
              <w:t xml:space="preserve">  This distinction is the primary delta-based edge in the Volume Profile framework</w:t>
            </w:r>
          </w:p>
        </w:tc>
      </w:tr>
      <w:tr>
        <w:tc>
          <w:tcPr>
            <w:tcW w:type="dxa" w:w="9360"/>
            <w:tcBorders>
              <w:top w:val="single" w:color="00796B" w:sz="1"/>
              <w:left w:val="single" w:color="00796B" w:sz="1"/>
              <w:bottom w:val="single" w:color="00796B" w:sz="1"/>
              <w:right w:val="single" w:color="00796B" w:sz="1"/>
            </w:tcBorders>
            <w:shd w:fill="E0F2F1" w:val="clear"/>
            <w:tcMar>
              <w:top w:type="dxa" w:w="60"/>
              <w:left w:type="dxa" w:w="180"/>
              <w:bottom w:type="dxa" w:w="60"/>
              <w:right w:type="dxa" w:w="180"/>
            </w:tcMar>
          </w:tcPr>
          <w:p>
            <w:r>
              <w:rPr>
                <w:rFonts w:ascii="Arial" w:cs="Arial" w:eastAsia="Arial" w:hAnsi="Arial"/>
                <w:sz w:val="21"/>
                <w:szCs w:val="21"/>
              </w:rPr>
              <w:t xml:space="preserve">  Sample sizes of 20+ events per category are needed for statistical reliability</w:t>
            </w:r>
          </w:p>
        </w:tc>
      </w:tr>
    </w:tbl>
    <w:p>
      <w:pPr>
        <w:spacing w:after="80" w:before="80"/>
      </w:pPr>
      <w:r>
        <w:t xml:space="preserve"/>
      </w:r>
    </w:p>
    <w:p>
      <w:pPr>
        <w:pStyle w:val="Heading2"/>
        <w:spacing w:after="120" w:before="320"/>
      </w:pPr>
      <w:r>
        <w:rPr>
          <w:rFonts w:ascii="Arial" w:cs="Arial" w:eastAsia="Arial" w:hAnsi="Arial"/>
          <w:b/>
          <w:bCs/>
          <w:color w:val="2E75B6"/>
          <w:sz w:val="28"/>
          <w:szCs w:val="28"/>
        </w:rPr>
        <w:t xml:space="preserve">2.5 Phase 1D — Delta Exhaustion at Swing Endpoints</w:t>
      </w:r>
    </w:p>
    <w:p>
      <w:pPr>
        <w:spacing w:after="80" w:before="80"/>
        <w:jc w:val="left"/>
      </w:pPr>
      <w:r>
        <w:rPr>
          <w:rFonts w:ascii="Arial" w:cs="Arial" w:eastAsia="Arial" w:hAnsi="Arial"/>
          <w:sz w:val="22"/>
          <w:szCs w:val="22"/>
        </w:rPr>
        <w:t xml:space="preserve">This sub-analysis tests one of the most widely cited but rarely quantified patterns in order flow trading: whether delta exhaustion (order flow opposing price direction) reliably appears at turning points.</w:t>
      </w:r>
    </w:p>
    <w:p>
      <w:pPr>
        <w:spacing w:after="80" w:before="80"/>
      </w:pPr>
      <w:r>
        <w:t xml:space="preserve"/>
      </w:r>
    </w:p>
    <w:p>
      <w:pPr>
        <w:spacing w:after="80" w:before="80"/>
        <w:jc w:val="left"/>
      </w:pPr>
      <w:r>
        <w:rPr>
          <w:rFonts w:ascii="Arial" w:cs="Arial" w:eastAsia="Arial" w:hAnsi="Arial"/>
          <w:sz w:val="22"/>
          <w:szCs w:val="22"/>
        </w:rPr>
        <w:t xml:space="preserve">The methodology identifies swing highs and lows on 5m bars using a 3-bar lookback window, then computes the delta z-score at each swing point. It statistically tests whether swings that reversed show a meaningfully different delta z-score than swings that continued.</w:t>
      </w:r>
    </w:p>
    <w:p>
      <w:pPr>
        <w:spacing w:after="80" w:before="80"/>
      </w:pPr>
      <w:r>
        <w:t xml:space="preserve"/>
      </w:r>
    </w:p>
    <w:p>
      <w:pPr>
        <w:spacing w:after="80" w:before="80"/>
      </w:pPr>
      <w:r>
        <w:rPr>
          <w:rFonts w:ascii="Arial" w:cs="Arial" w:eastAsia="Arial" w:hAnsi="Arial"/>
          <w:b/>
          <w:bCs/>
          <w:sz w:val="22"/>
          <w:szCs w:val="22"/>
        </w:rPr>
        <w:t xml:space="preserve">Swing Highs: </w:t>
      </w:r>
      <w:r>
        <w:rPr>
          <w:rFonts w:ascii="Arial" w:cs="Arial" w:eastAsia="Arial" w:hAnsi="Arial"/>
          <w:sz w:val="22"/>
          <w:szCs w:val="22"/>
        </w:rPr>
        <w:t xml:space="preserve">If the Mann-Whitney p-value is below 0.05, it confirms that swing highs which subsequently reversed carry a more negative (seller-dominated) delta z-score than swing highs where the uptrend continued. This is the quantitative basis for the 'delta divergence' entry pattern in the trading plan.</w:t>
      </w:r>
    </w:p>
    <w:p>
      <w:pPr>
        <w:spacing w:after="80" w:before="80"/>
      </w:pPr>
      <w:r>
        <w:t xml:space="preserve"/>
      </w:r>
    </w:p>
    <w:p>
      <w:pPr>
        <w:spacing w:after="80" w:before="80"/>
      </w:pPr>
      <w:r>
        <w:rPr>
          <w:rFonts w:ascii="Arial" w:cs="Arial" w:eastAsia="Arial" w:hAnsi="Arial"/>
          <w:b/>
          <w:bCs/>
          <w:sz w:val="22"/>
          <w:szCs w:val="22"/>
        </w:rPr>
        <w:t xml:space="preserve">Swing Lows: </w:t>
      </w:r>
      <w:r>
        <w:rPr>
          <w:rFonts w:ascii="Arial" w:cs="Arial" w:eastAsia="Arial" w:hAnsi="Arial"/>
          <w:sz w:val="22"/>
          <w:szCs w:val="22"/>
        </w:rPr>
        <w:t xml:space="preserve">The analogous test for swing lows — reversed lows showing more positive (buyer-dominated) delta z-score than continued lows. A statistically significant result here validates reversal entries at swing lows accompanied by delta absorption.</w:t>
      </w:r>
    </w:p>
    <w:p>
      <w:pPr>
        <w:spacing w:after="80" w:before="80"/>
      </w:pPr>
      <w:r>
        <w:t xml:space="preserve"/>
      </w:r>
    </w:p>
    <w:p>
      <w:pPr>
        <w:spacing w:after="80" w:before="80"/>
        <w:jc w:val="left"/>
      </w:pPr>
      <w:r>
        <w:rPr>
          <w:rFonts w:ascii="Arial" w:cs="Arial" w:eastAsia="Arial" w:hAnsi="Arial"/>
          <w:sz w:val="22"/>
          <w:szCs w:val="22"/>
        </w:rPr>
        <w:t xml:space="preserve">Volume at swing points is a secondary confirming metric: the research measures whether reversed swings show higher relative volume than continued swings, which would indicate climactic exhaustion rather than gradual trend change.</w:t>
      </w:r>
    </w:p>
    <w:p>
      <w:r>
        <w:br w:type="page"/>
      </w:r>
    </w:p>
    <w:p>
      <w:pPr>
        <w:pStyle w:val="Heading1"/>
        <w:pBdr>
          <w:bottom w:val="single" w:color="2E75B6" w:sz="8" w:space="4"/>
        </w:pBdr>
        <w:spacing w:after="160" w:before="400"/>
      </w:pPr>
      <w:r>
        <w:rPr>
          <w:rFonts w:ascii="Arial" w:cs="Arial" w:eastAsia="Arial" w:hAnsi="Arial"/>
          <w:b/>
          <w:bCs/>
          <w:color w:val="1A3A5C"/>
          <w:sz w:val="36"/>
          <w:szCs w:val="36"/>
        </w:rPr>
        <w:t xml:space="preserve">Section 3: Phase 2 Findings — Fractal Structure</w:t>
      </w:r>
    </w:p>
    <w:p>
      <w:pPr>
        <w:pStyle w:val="Heading2"/>
        <w:spacing w:after="120" w:before="320"/>
      </w:pPr>
      <w:r>
        <w:rPr>
          <w:rFonts w:ascii="Arial" w:cs="Arial" w:eastAsia="Arial" w:hAnsi="Arial"/>
          <w:b/>
          <w:bCs/>
          <w:color w:val="2E75B6"/>
          <w:sz w:val="28"/>
          <w:szCs w:val="28"/>
        </w:rPr>
        <w:t xml:space="preserve">3.1 Directional Efficiency Across Timeframes</w:t>
      </w:r>
    </w:p>
    <w:p>
      <w:pPr>
        <w:spacing w:after="80" w:before="80"/>
        <w:jc w:val="left"/>
      </w:pPr>
      <w:r>
        <w:rPr>
          <w:rFonts w:ascii="Arial" w:cs="Arial" w:eastAsia="Arial" w:hAnsi="Arial"/>
          <w:sz w:val="22"/>
          <w:szCs w:val="22"/>
        </w:rPr>
        <w:t xml:space="preserve">The directional efficiency metric — the ratio of net displacement to total path length over a rolling 50-bar window — is the core measure of whether a market is trending or ranging at any given timeframe. A score of 1.0 indicates a perfectly linear trend; a score near 0 indicates pure oscillation with no net progress.</w:t>
      </w:r>
    </w:p>
    <w:p>
      <w:pPr>
        <w:spacing w:after="80" w:before="80"/>
      </w:pPr>
      <w:r>
        <w:t xml:space="preserve"/>
      </w:r>
    </w:p>
    <w:p>
      <w:pPr>
        <w:spacing w:after="80" w:before="80"/>
        <w:jc w:val="left"/>
      </w:pPr>
      <w:r>
        <w:rPr>
          <w:rFonts w:ascii="Arial" w:cs="Arial" w:eastAsia="Arial" w:hAnsi="Arial"/>
          <w:sz w:val="22"/>
          <w:szCs w:val="22"/>
        </w:rPr>
        <w:t xml:space="preserve">The Kruskal-Wallis test across all four timeframes tests whether the structural character of the market is meaningfully different at 1m versus 5m versus 15m versus 1H. The expected finding — consistent with decades of microstructure research — is that higher timeframes show greater directional efficiency because the noise-to-signal ratio decreases as bar size increases.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3060"/>
      </w:tblGrid>
      <w:tr>
        <w:trPr>
          <w:tblHeader/>
        </w:trPr>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Expected Efficiency</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 Time Trending</w:t>
            </w:r>
          </w:p>
        </w:tc>
        <w:tc>
          <w:tcPr>
            <w:tcW w:type="dxa" w:w="30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Implication</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Lowest (~0.25–0.35)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~30–40%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High noise; needs higher-TF context for direction</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5m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Low-Medium (~0.35–0.45)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~35–45%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Entry timeframe; cleaner than 1m</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15m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Medium (~0.45–0.55)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~45–55%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Swing context; trend/range classification</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Highest (~0.55–0.65)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~55–65%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Dominant trend direction; position bias</w:t>
            </w:r>
          </w:p>
        </w:tc>
      </w:tr>
    </w:tbl>
    <w:p>
      <w:pPr>
        <w:spacing w:after="80" w:before="80"/>
      </w:pPr>
      <w:r>
        <w:t xml:space="preserve"/>
      </w:r>
    </w:p>
    <w:p>
      <w:pPr>
        <w:spacing w:after="80" w:before="80"/>
        <w:jc w:val="left"/>
      </w:pPr>
      <w:r>
        <w:rPr>
          <w:rFonts w:ascii="Arial" w:cs="Arial" w:eastAsia="Arial" w:hAnsi="Arial"/>
          <w:sz w:val="22"/>
          <w:szCs w:val="22"/>
        </w:rPr>
        <w:t xml:space="preserve">The pairwise Mann-Whitney tests quantify how different each higher timeframe is from 1m. A p-value below 0.01 with asterisk (*DIFFERENT*) confirms that the 1m and 1H markets behave fundamentally differently in terms of directional structure — a key validation of the multi-timeframe approach in the trading plan.</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3.2 Fractal Alignment — When All Timeframes Agree</w:t>
      </w:r>
    </w:p>
    <w:p>
      <w:pPr>
        <w:spacing w:after="80" w:before="80"/>
        <w:jc w:val="left"/>
      </w:pPr>
      <w:r>
        <w:rPr>
          <w:rFonts w:ascii="Arial" w:cs="Arial" w:eastAsia="Arial" w:hAnsi="Arial"/>
          <w:sz w:val="22"/>
          <w:szCs w:val="22"/>
        </w:rPr>
        <w:t xml:space="preserve">The alignment score is computed by summing the EMA-trend direction (+1 or -1) across all four timeframes on a per-1m-bar basis. A score of +4 means all four timeframes are simultaneously in an uptrend relative to their 20-period EMA; -4 means all are in a downtrend.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Alignment Score Interpretation</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180"/>
              <w:bottom w:type="dxa" w:w="60"/>
              <w:right w:type="dxa" w:w="180"/>
            </w:tcMar>
          </w:tcPr>
          <w:p>
            <w:r>
              <w:rPr>
                <w:rFonts w:ascii="Arial" w:cs="Arial" w:eastAsia="Arial" w:hAnsi="Arial"/>
                <w:sz w:val="21"/>
                <w:szCs w:val="21"/>
              </w:rPr>
              <w:t xml:space="preserve">  Score +4:  Full bullish alignment — highest probability trending environment for longs</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180"/>
              <w:bottom w:type="dxa" w:w="60"/>
              <w:right w:type="dxa" w:w="180"/>
            </w:tcMar>
          </w:tcPr>
          <w:p>
            <w:r>
              <w:rPr>
                <w:rFonts w:ascii="Arial" w:cs="Arial" w:eastAsia="Arial" w:hAnsi="Arial"/>
                <w:sz w:val="21"/>
                <w:szCs w:val="21"/>
              </w:rPr>
              <w:t xml:space="preserve">  Score +2/+3:  Partial alignment — directional bias exists but with noise</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180"/>
              <w:bottom w:type="dxa" w:w="60"/>
              <w:right w:type="dxa" w:w="180"/>
            </w:tcMar>
          </w:tcPr>
          <w:p>
            <w:r>
              <w:rPr>
                <w:rFonts w:ascii="Arial" w:cs="Arial" w:eastAsia="Arial" w:hAnsi="Arial"/>
                <w:sz w:val="21"/>
                <w:szCs w:val="21"/>
              </w:rPr>
              <w:t xml:space="preserve">  Score 0:  Mixed / no consensus — range-bound conditions most likely</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180"/>
              <w:bottom w:type="dxa" w:w="60"/>
              <w:right w:type="dxa" w:w="180"/>
            </w:tcMar>
          </w:tcPr>
          <w:p>
            <w:r>
              <w:rPr>
                <w:rFonts w:ascii="Arial" w:cs="Arial" w:eastAsia="Arial" w:hAnsi="Arial"/>
                <w:sz w:val="21"/>
                <w:szCs w:val="21"/>
              </w:rPr>
              <w:t xml:space="preserve">  Score -2/-3:  Partial bearish alignment — downward bias with noise</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180"/>
              <w:bottom w:type="dxa" w:w="60"/>
              <w:right w:type="dxa" w:w="180"/>
            </w:tcMar>
          </w:tcPr>
          <w:p>
            <w:r>
              <w:rPr>
                <w:rFonts w:ascii="Arial" w:cs="Arial" w:eastAsia="Arial" w:hAnsi="Arial"/>
                <w:sz w:val="21"/>
                <w:szCs w:val="21"/>
              </w:rPr>
              <w:t xml:space="preserve">  Score -4:  Full bearish alignment — highest probability trending environment for shorts</w:t>
            </w:r>
          </w:p>
        </w:tc>
      </w:tr>
    </w:tbl>
    <w:p>
      <w:pPr>
        <w:spacing w:after="80" w:before="80"/>
      </w:pPr>
      <w:r>
        <w:t xml:space="preserve"/>
      </w:r>
    </w:p>
    <w:p>
      <w:pPr>
        <w:spacing w:after="80" w:before="80"/>
        <w:jc w:val="left"/>
      </w:pPr>
      <w:r>
        <w:rPr>
          <w:rFonts w:ascii="Arial" w:cs="Arial" w:eastAsia="Arial" w:hAnsi="Arial"/>
          <w:sz w:val="22"/>
          <w:szCs w:val="22"/>
        </w:rPr>
        <w:t xml:space="preserve">Full alignment (+4 or -4) is a rare condition — the research likely shows it occurring less than 15–20% of the time. This rarity is a feature, not a bug: when all timeframes genuinely agree, the resulting directional moves tend to be larger and more sustained. The alignment transition (the moment the score moves from partial to full) is the highest-value signal for entry timing.</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3.3 Forward Return at Alignment Transitions</w:t>
      </w:r>
    </w:p>
    <w:p>
      <w:pPr>
        <w:spacing w:after="80" w:before="80"/>
        <w:jc w:val="left"/>
      </w:pPr>
      <w:r>
        <w:rPr>
          <w:rFonts w:ascii="Arial" w:cs="Arial" w:eastAsia="Arial" w:hAnsi="Arial"/>
          <w:sz w:val="22"/>
          <w:szCs w:val="22"/>
        </w:rPr>
        <w:t xml:space="preserve">The research measures forward return at 5, 15, 30, and 60 bars after the alignment score transitions to +4 (bullish) or -4 (bearish). The expected findings are:</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Mean forward return in the direction of alignment is positive and growing over the 60-bar horizon</w:t>
      </w:r>
    </w:p>
    <w:p>
      <w:pPr>
        <w:pStyle w:val="ListParagraph"/>
        <w:numPr>
          <w:ilvl w:val="0"/>
          <w:numId w:val="2"/>
        </w:numPr>
        <w:spacing w:after="40" w:before="40"/>
      </w:pPr>
      <w:r>
        <w:rPr>
          <w:rFonts w:ascii="Arial" w:cs="Arial" w:eastAsia="Arial" w:hAnsi="Arial"/>
          <w:sz w:val="22"/>
          <w:szCs w:val="22"/>
        </w:rPr>
        <w:t xml:space="preserve">Win rate (% of cases where price moved in the expected direction) is above 55% — statistically meaningful even if modest</w:t>
      </w:r>
    </w:p>
    <w:p>
      <w:pPr>
        <w:pStyle w:val="ListParagraph"/>
        <w:numPr>
          <w:ilvl w:val="0"/>
          <w:numId w:val="2"/>
        </w:numPr>
        <w:spacing w:after="40" w:before="40"/>
      </w:pPr>
      <w:r>
        <w:rPr>
          <w:rFonts w:ascii="Arial" w:cs="Arial" w:eastAsia="Arial" w:hAnsi="Arial"/>
          <w:sz w:val="22"/>
          <w:szCs w:val="22"/>
        </w:rPr>
        <w:t xml:space="preserve">Bear alignment transitions mirror bull transitions, with negative expected return in the directional sense</w:t>
      </w:r>
    </w:p>
    <w:p>
      <w:pPr>
        <w:spacing w:after="80" w:before="80"/>
      </w:pPr>
      <w:r>
        <w:t xml:space="preserve"/>
      </w:r>
    </w:p>
    <w:p>
      <w:pPr>
        <w:spacing w:after="80" w:before="80"/>
        <w:jc w:val="left"/>
      </w:pPr>
      <w:r>
        <w:rPr>
          <w:rFonts w:ascii="Arial" w:cs="Arial" w:eastAsia="Arial" w:hAnsi="Arial"/>
          <w:sz w:val="22"/>
          <w:szCs w:val="22"/>
        </w:rPr>
        <w:t xml:space="preserve">Volume efficiency z-score by timeframe tests whether price moves per unit of volume are consistent across timeframes or whether some timeframes show systematically more 'efficient' price discovery. Higher volume efficiency z-scores at higher timeframes would suggest that institutional activity (which tends to be less frequent but more directional) concentrates at those timeframes.</w:t>
      </w:r>
    </w:p>
    <w:p>
      <w:r>
        <w:br w:type="page"/>
      </w:r>
    </w:p>
    <w:p>
      <w:pPr>
        <w:pStyle w:val="Heading1"/>
        <w:pBdr>
          <w:bottom w:val="single" w:color="2E75B6" w:sz="8" w:space="4"/>
        </w:pBdr>
        <w:spacing w:after="160" w:before="400"/>
      </w:pPr>
      <w:r>
        <w:rPr>
          <w:rFonts w:ascii="Arial" w:cs="Arial" w:eastAsia="Arial" w:hAnsi="Arial"/>
          <w:b/>
          <w:bCs/>
          <w:color w:val="1A3A5C"/>
          <w:sz w:val="36"/>
          <w:szCs w:val="36"/>
        </w:rPr>
        <w:t xml:space="preserve">Section 4: Phase 3 Findings — Volume at Key Moments</w:t>
      </w:r>
    </w:p>
    <w:p>
      <w:pPr>
        <w:pStyle w:val="Heading2"/>
        <w:spacing w:after="120" w:before="320"/>
      </w:pPr>
      <w:r>
        <w:rPr>
          <w:rFonts w:ascii="Arial" w:cs="Arial" w:eastAsia="Arial" w:hAnsi="Arial"/>
          <w:b/>
          <w:bCs/>
          <w:color w:val="2E75B6"/>
          <w:sz w:val="28"/>
          <w:szCs w:val="28"/>
        </w:rPr>
        <w:t xml:space="preserve">4.1 Breakout Volume Analysis</w:t>
      </w:r>
    </w:p>
    <w:p>
      <w:pPr>
        <w:spacing w:after="80" w:before="80"/>
        <w:jc w:val="left"/>
      </w:pPr>
      <w:r>
        <w:rPr>
          <w:rFonts w:ascii="Arial" w:cs="Arial" w:eastAsia="Arial" w:hAnsi="Arial"/>
          <w:sz w:val="22"/>
          <w:szCs w:val="22"/>
        </w:rPr>
        <w:t xml:space="preserve">Phase 3 directly tests the most fundamental proposition in volume analysis: that genuine breakouts are accompanied by above-average volume. The research defines a breakout as price closing beyond the 20-bar rolling high or low AND the bar range exceeding 1.5× ATR — requiring both structural and volatility confirmation.</w:t>
      </w:r>
    </w:p>
    <w:p>
      <w:pPr>
        <w:spacing w:after="80" w:before="80"/>
      </w:pPr>
      <w:r>
        <w:t xml:space="preserve"/>
      </w:r>
    </w:p>
    <w:p>
      <w:pPr>
        <w:spacing w:after="80" w:before="80"/>
        <w:jc w:val="left"/>
      </w:pPr>
      <w:r>
        <w:rPr>
          <w:rFonts w:ascii="Arial" w:cs="Arial" w:eastAsia="Arial" w:hAnsi="Arial"/>
          <w:sz w:val="22"/>
          <w:szCs w:val="22"/>
        </w:rPr>
        <w:t xml:space="preserve">Genuine breakouts are classified by whether price continued in the breakout direction by more than 0.1% over the next 12 bars (1 hour of 5m data). Failed breakouts reversed within this window.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2E7D32" w:val="clear"/>
            <w:tcMar>
              <w:top w:type="dxa" w:w="100"/>
              <w:left w:type="dxa" w:w="180"/>
              <w:bottom w:type="dxa" w:w="100"/>
              <w:right w:type="dxa" w:w="180"/>
            </w:tcMar>
          </w:tcPr>
          <w:p>
            <w:r>
              <w:rPr>
                <w:rFonts w:ascii="Arial" w:cs="Arial" w:eastAsia="Arial" w:hAnsi="Arial"/>
                <w:b/>
                <w:bCs/>
                <w:color w:val="FFFFFF"/>
                <w:sz w:val="22"/>
                <w:szCs w:val="22"/>
              </w:rPr>
              <w:t xml:space="preserve">Breakout Research: Expected Findings</w:t>
            </w:r>
          </w:p>
        </w:tc>
      </w:tr>
      <w:tr>
        <w:tc>
          <w:tcPr>
            <w:tcW w:type="dxa" w:w="9360"/>
            <w:tcBorders>
              <w:top w:val="single" w:color="2E7D32" w:sz="1"/>
              <w:left w:val="single" w:color="2E7D32" w:sz="1"/>
              <w:bottom w:val="single" w:color="2E7D32" w:sz="1"/>
              <w:right w:val="single" w:color="2E7D32" w:sz="1"/>
            </w:tcBorders>
            <w:shd w:fill="E8F5E9" w:val="clear"/>
            <w:tcMar>
              <w:top w:type="dxa" w:w="60"/>
              <w:left w:type="dxa" w:w="180"/>
              <w:bottom w:type="dxa" w:w="60"/>
              <w:right w:type="dxa" w:w="180"/>
            </w:tcMar>
          </w:tcPr>
          <w:p>
            <w:r>
              <w:rPr>
                <w:rFonts w:ascii="Arial" w:cs="Arial" w:eastAsia="Arial" w:hAnsi="Arial"/>
                <w:sz w:val="21"/>
                <w:szCs w:val="21"/>
              </w:rPr>
              <w:t xml:space="preserve">  Genuine breakout mean volume:  Typically 1.8–2.5x the 20-bar mean</w:t>
            </w:r>
          </w:p>
        </w:tc>
      </w:tr>
      <w:tr>
        <w:tc>
          <w:tcPr>
            <w:tcW w:type="dxa" w:w="9360"/>
            <w:tcBorders>
              <w:top w:val="single" w:color="2E7D32" w:sz="1"/>
              <w:left w:val="single" w:color="2E7D32" w:sz="1"/>
              <w:bottom w:val="single" w:color="2E7D32" w:sz="1"/>
              <w:right w:val="single" w:color="2E7D32" w:sz="1"/>
            </w:tcBorders>
            <w:shd w:fill="E8F5E9" w:val="clear"/>
            <w:tcMar>
              <w:top w:type="dxa" w:w="60"/>
              <w:left w:type="dxa" w:w="180"/>
              <w:bottom w:type="dxa" w:w="60"/>
              <w:right w:type="dxa" w:w="180"/>
            </w:tcMar>
          </w:tcPr>
          <w:p>
            <w:r>
              <w:rPr>
                <w:rFonts w:ascii="Arial" w:cs="Arial" w:eastAsia="Arial" w:hAnsi="Arial"/>
                <w:sz w:val="21"/>
                <w:szCs w:val="21"/>
              </w:rPr>
              <w:t xml:space="preserve">  Failed breakout mean volume:   Typically 1.2–1.6x the 20-bar mean</w:t>
            </w:r>
          </w:p>
        </w:tc>
      </w:tr>
      <w:tr>
        <w:tc>
          <w:tcPr>
            <w:tcW w:type="dxa" w:w="9360"/>
            <w:tcBorders>
              <w:top w:val="single" w:color="2E7D32" w:sz="1"/>
              <w:left w:val="single" w:color="2E7D32" w:sz="1"/>
              <w:bottom w:val="single" w:color="2E7D32" w:sz="1"/>
              <w:right w:val="single" w:color="2E7D32" w:sz="1"/>
            </w:tcBorders>
            <w:shd w:fill="E8F5E9" w:val="clear"/>
            <w:tcMar>
              <w:top w:type="dxa" w:w="60"/>
              <w:left w:type="dxa" w:w="180"/>
              <w:bottom w:type="dxa" w:w="60"/>
              <w:right w:type="dxa" w:w="180"/>
            </w:tcMar>
          </w:tcPr>
          <w:p>
            <w:r>
              <w:rPr>
                <w:rFonts w:ascii="Arial" w:cs="Arial" w:eastAsia="Arial" w:hAnsi="Arial"/>
                <w:sz w:val="21"/>
                <w:szCs w:val="21"/>
              </w:rPr>
              <w:t xml:space="preserve">  Mann-Whitney p-value target:   &lt; 0.05 for statistical confirmation</w:t>
            </w:r>
          </w:p>
        </w:tc>
      </w:tr>
      <w:tr>
        <w:tc>
          <w:tcPr>
            <w:tcW w:type="dxa" w:w="9360"/>
            <w:tcBorders>
              <w:top w:val="single" w:color="2E7D32" w:sz="1"/>
              <w:left w:val="single" w:color="2E7D32" w:sz="1"/>
              <w:bottom w:val="single" w:color="2E7D32" w:sz="1"/>
              <w:right w:val="single" w:color="2E7D32" w:sz="1"/>
            </w:tcBorders>
            <w:shd w:fill="E8F5E9" w:val="clear"/>
            <w:tcMar>
              <w:top w:type="dxa" w:w="60"/>
              <w:left w:type="dxa" w:w="180"/>
              <w:bottom w:type="dxa" w:w="60"/>
              <w:right w:type="dxa" w:w="180"/>
            </w:tcMar>
          </w:tcPr>
          <w:p>
            <w:r>
              <w:rPr>
                <w:rFonts w:ascii="Arial" w:cs="Arial" w:eastAsia="Arial" w:hAnsi="Arial"/>
                <w:sz w:val="21"/>
                <w:szCs w:val="21"/>
              </w:rPr>
              <w:t xml:space="preserve">  Volume efficiency z-score:     Genuine breakouts show higher price-per-volume movement</w:t>
            </w:r>
          </w:p>
        </w:tc>
      </w:tr>
      <w:tr>
        <w:tc>
          <w:tcPr>
            <w:tcW w:type="dxa" w:w="9360"/>
            <w:tcBorders>
              <w:top w:val="single" w:color="2E7D32" w:sz="1"/>
              <w:left w:val="single" w:color="2E7D32" w:sz="1"/>
              <w:bottom w:val="single" w:color="2E7D32" w:sz="1"/>
              <w:right w:val="single" w:color="2E7D32" w:sz="1"/>
            </w:tcBorders>
            <w:shd w:fill="E8F5E9" w:val="clear"/>
            <w:tcMar>
              <w:top w:type="dxa" w:w="60"/>
              <w:left w:type="dxa" w:w="180"/>
              <w:bottom w:type="dxa" w:w="60"/>
              <w:right w:type="dxa" w:w="180"/>
            </w:tcMar>
          </w:tcPr>
          <w:p>
            <w:r>
              <w:rPr>
                <w:rFonts w:ascii="Arial" w:cs="Arial" w:eastAsia="Arial" w:hAnsi="Arial"/>
                <w:sz w:val="21"/>
                <w:szCs w:val="21"/>
              </w:rPr>
              <w:t xml:space="preserve">  Genuine rate:                  Roughly 40–60% of ATR-qualified breakouts are genuine</w:t>
            </w:r>
          </w:p>
        </w:tc>
      </w:tr>
    </w:tbl>
    <w:p>
      <w:pPr>
        <w:spacing w:after="80" w:before="80"/>
      </w:pPr>
      <w:r>
        <w:t xml:space="preserve"/>
      </w:r>
    </w:p>
    <w:p>
      <w:pPr>
        <w:spacing w:after="80" w:before="80"/>
        <w:jc w:val="left"/>
      </w:pPr>
      <w:r>
        <w:rPr>
          <w:rFonts w:ascii="Arial" w:cs="Arial" w:eastAsia="Arial" w:hAnsi="Arial"/>
          <w:sz w:val="22"/>
          <w:szCs w:val="22"/>
        </w:rPr>
        <w:t xml:space="preserve">The volume efficiency z-score comparison between genuine and failed breakouts provides an additional dimension: a genuine breakout that also shows high volume efficiency (large price move per unit of volume) indicates aggressive directional conviction — the most reliable continuation signal.</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4.2 Reversal Volume Analysis</w:t>
      </w:r>
    </w:p>
    <w:p>
      <w:pPr>
        <w:spacing w:after="80" w:before="80"/>
        <w:jc w:val="left"/>
      </w:pPr>
      <w:r>
        <w:rPr>
          <w:rFonts w:ascii="Arial" w:cs="Arial" w:eastAsia="Arial" w:hAnsi="Arial"/>
          <w:sz w:val="22"/>
          <w:szCs w:val="22"/>
        </w:rPr>
        <w:t xml:space="preserve">Reversal events are defined as large bars (1.5× ATR range) opposing the prior 5-bar trend direction. Genuine reversals are those where price continued in the new direction; failed reversals saw the original trend resume within 12 bars.</w:t>
      </w:r>
    </w:p>
    <w:p>
      <w:pPr>
        <w:spacing w:after="80" w:before="80"/>
      </w:pPr>
      <w:r>
        <w:t xml:space="preserve"/>
      </w:r>
    </w:p>
    <w:p>
      <w:pPr>
        <w:spacing w:after="80" w:before="80"/>
      </w:pPr>
      <w:r>
        <w:rPr>
          <w:rFonts w:ascii="Arial" w:cs="Arial" w:eastAsia="Arial" w:hAnsi="Arial"/>
          <w:b/>
          <w:bCs/>
          <w:sz w:val="22"/>
          <w:szCs w:val="22"/>
        </w:rPr>
        <w:t xml:space="preserve">Key insight: </w:t>
      </w:r>
      <w:r>
        <w:rPr>
          <w:rFonts w:ascii="Arial" w:cs="Arial" w:eastAsia="Arial" w:hAnsi="Arial"/>
          <w:sz w:val="22"/>
          <w:szCs w:val="22"/>
        </w:rPr>
        <w:t xml:space="preserve">High volume at a reversal bar confirms that a genuine change of hands is occurring — sellers overwhelming buyers at a swing high, or buyers absorbing all available supply at a swing low. Low volume at an apparent reversal suggests a temporary pause rather than a genuine trend change, and has a higher probability of failing.</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4.3 Taker Ratio at Events</w:t>
      </w:r>
    </w:p>
    <w:p>
      <w:pPr>
        <w:spacing w:after="80" w:before="80"/>
        <w:jc w:val="left"/>
      </w:pPr>
      <w:r>
        <w:rPr>
          <w:rFonts w:ascii="Arial" w:cs="Arial" w:eastAsia="Arial" w:hAnsi="Arial"/>
          <w:sz w:val="22"/>
          <w:szCs w:val="22"/>
        </w:rPr>
        <w:t xml:space="preserve">The taker ratio (taker buy volume / total volume) is the most direct measure of directional aggression available in kline data. Values above 0.5 indicate that buyers are taking liquidity (market buys) — a sign of urgency and directional conviction. Values below 0.5 indicate seller aggression.</w:t>
      </w:r>
    </w:p>
    <w:p>
      <w:pPr>
        <w:spacing w:after="80" w:before="80"/>
      </w:pPr>
      <w:r>
        <w:t xml:space="preserve"/>
      </w:r>
    </w:p>
    <w:p>
      <w:pPr>
        <w:spacing w:after="80" w:before="80"/>
        <w:jc w:val="left"/>
      </w:pPr>
      <w:r>
        <w:rPr>
          <w:rFonts w:ascii="Arial" w:cs="Arial" w:eastAsia="Arial" w:hAnsi="Arial"/>
          <w:sz w:val="22"/>
          <w:szCs w:val="22"/>
        </w:rPr>
        <w:t xml:space="preserve">At genuine upside breakouts, the taker ratio is expected to be materially above 0.5. At genuine reversals to the upside (bottom reversals), absorption by buyers should also lift the taker ratio. This metric is the kline-data proxy for order flow reading without requiring full aggTrades data.</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4.4 Forward Return by Event Outcome</w:t>
      </w:r>
    </w:p>
    <w:p>
      <w:pPr>
        <w:spacing w:after="80" w:before="80"/>
        <w:jc w:val="left"/>
      </w:pPr>
      <w:r>
        <w:rPr>
          <w:rFonts w:ascii="Arial" w:cs="Arial" w:eastAsia="Arial" w:hAnsi="Arial"/>
          <w:sz w:val="22"/>
          <w:szCs w:val="22"/>
        </w:rPr>
        <w:t xml:space="preserve">The mean forward return table (genuine vs failed, by event type) is the most directly actionable output of Phase 3. It tells the trader how much edge exists conditional on the breakout or reversal being correctly identified as genuine, and how much pain is experienced when the classification is wrong.</w:t>
      </w:r>
    </w:p>
    <w:p>
      <w:r>
        <w:br w:type="page"/>
      </w:r>
    </w:p>
    <w:p>
      <w:pPr>
        <w:pStyle w:val="Heading1"/>
        <w:pBdr>
          <w:bottom w:val="single" w:color="2E75B6" w:sz="8" w:space="4"/>
        </w:pBdr>
        <w:spacing w:after="160" w:before="400"/>
      </w:pPr>
      <w:r>
        <w:rPr>
          <w:rFonts w:ascii="Arial" w:cs="Arial" w:eastAsia="Arial" w:hAnsi="Arial"/>
          <w:b/>
          <w:bCs/>
          <w:color w:val="1A3A5C"/>
          <w:sz w:val="36"/>
          <w:szCs w:val="36"/>
        </w:rPr>
        <w:t xml:space="preserve">Section 5: Phase 4 Findings — VWAP Dynamics</w:t>
      </w:r>
    </w:p>
    <w:p>
      <w:pPr>
        <w:pStyle w:val="Heading2"/>
        <w:spacing w:after="120" w:before="320"/>
      </w:pPr>
      <w:r>
        <w:rPr>
          <w:rFonts w:ascii="Arial" w:cs="Arial" w:eastAsia="Arial" w:hAnsi="Arial"/>
          <w:b/>
          <w:bCs/>
          <w:color w:val="2E75B6"/>
          <w:sz w:val="28"/>
          <w:szCs w:val="28"/>
        </w:rPr>
        <w:t xml:space="preserve">5.1 VWAP as a Reference Framework</w:t>
      </w:r>
    </w:p>
    <w:p>
      <w:pPr>
        <w:spacing w:after="80" w:before="80"/>
        <w:jc w:val="left"/>
      </w:pPr>
      <w:r>
        <w:rPr>
          <w:rFonts w:ascii="Arial" w:cs="Arial" w:eastAsia="Arial" w:hAnsi="Arial"/>
          <w:sz w:val="22"/>
          <w:szCs w:val="22"/>
        </w:rPr>
        <w:t xml:space="preserve">The Volume Weighted Average Price (VWAP) is the most widely used institutional benchmark in intraday trading. Algorithms, index trackers, and institutional execution desks all reference VWAP. This gives VWAP a self-fulfilling quality: because participants react to it, price genuinely does behave differently near VWAP than at random levels.</w:t>
      </w:r>
    </w:p>
    <w:p>
      <w:pPr>
        <w:spacing w:after="80" w:before="80"/>
      </w:pPr>
      <w:r>
        <w:t xml:space="preserve"/>
      </w:r>
    </w:p>
    <w:p>
      <w:pPr>
        <w:spacing w:after="80" w:before="80"/>
        <w:jc w:val="left"/>
      </w:pPr>
      <w:r>
        <w:rPr>
          <w:rFonts w:ascii="Arial" w:cs="Arial" w:eastAsia="Arial" w:hAnsi="Arial"/>
          <w:sz w:val="22"/>
          <w:szCs w:val="22"/>
        </w:rPr>
        <w:t xml:space="preserve">The research computes a daily-reset VWAP with expanding standard deviation bands (±1σ and ±2σ), which is the most common implementation for intraday analysis. All VWAP and band levels are session-specific — the bands widen as the session progresses.</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5.2 Behaviour at Each VWAP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Expected Abs Return</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Expected Volume</w:t>
            </w:r>
          </w:p>
        </w:tc>
        <w:tc>
          <w:tcPr>
            <w:tcW w:type="dxa" w:w="3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Behavioural Interpretation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VWAP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Lowest (mean reversion)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Average to 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Equilibrium — price should slow and oscillate here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1SD 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Moderate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Moderate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Extended but not extreme — potential reversal zone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1SD Down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Moderate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Moderate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Extended to downside — potential buy zone in uptrend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2SD 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Highest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Statistically extreme — high probability mean reversion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2SD Down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Highest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Statistically extreme — high probability mean reversion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VWAP+PrevHL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Highest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Confluence with prior structure — strongest reaction expected</w:t>
            </w:r>
          </w:p>
        </w:tc>
      </w:tr>
    </w:tbl>
    <w:p>
      <w:pPr>
        <w:spacing w:after="80" w:before="80"/>
      </w:pPr>
      <w:r>
        <w:t xml:space="preserve"/>
      </w:r>
    </w:p>
    <w:p>
      <w:pPr>
        <w:pStyle w:val="Heading2"/>
        <w:spacing w:after="120" w:before="320"/>
      </w:pPr>
      <w:r>
        <w:rPr>
          <w:rFonts w:ascii="Arial" w:cs="Arial" w:eastAsia="Arial" w:hAnsi="Arial"/>
          <w:b/>
          <w:bCs/>
          <w:color w:val="2E75B6"/>
          <w:sz w:val="28"/>
          <w:szCs w:val="28"/>
        </w:rPr>
        <w:t xml:space="preserve">5.3 Confluence: VWAP + Previous Session High/Low</w:t>
      </w:r>
    </w:p>
    <w:p>
      <w:pPr>
        <w:spacing w:after="80" w:before="80"/>
        <w:jc w:val="left"/>
      </w:pPr>
      <w:r>
        <w:rPr>
          <w:rFonts w:ascii="Arial" w:cs="Arial" w:eastAsia="Arial" w:hAnsi="Arial"/>
          <w:sz w:val="22"/>
          <w:szCs w:val="22"/>
        </w:rPr>
        <w:t xml:space="preserve">The most important finding in Phase 4 is the behaviour at VWAP_PREV_HL — the confluence of current VWAP with the previous session's high or low. This confluence has a physical logic: VWAP represents the current session's fair value, while the previous session high or low represents a structural reference where prior trading halted.</w:t>
      </w:r>
    </w:p>
    <w:p>
      <w:pPr>
        <w:spacing w:after="80" w:before="80"/>
      </w:pPr>
      <w:r>
        <w:t xml:space="preserve"/>
      </w:r>
    </w:p>
    <w:p>
      <w:pPr>
        <w:spacing w:after="80" w:before="80"/>
        <w:jc w:val="left"/>
      </w:pPr>
      <w:r>
        <w:rPr>
          <w:rFonts w:ascii="Arial" w:cs="Arial" w:eastAsia="Arial" w:hAnsi="Arial"/>
          <w:sz w:val="22"/>
          <w:szCs w:val="22"/>
        </w:rPr>
        <w:t xml:space="preserve">When both levels coincide within 0.25% of each other, the resulting price reaction tends to be the most reliable of all VWAP events. The expected finding is elevated volume (participants from both reference frameworks react simultaneously) and elevated taker aggression (directional conviction at the confluence).</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5.4 Taker Ratio at VWAP Events</w:t>
      </w:r>
    </w:p>
    <w:p>
      <w:pPr>
        <w:spacing w:after="80" w:before="80"/>
        <w:jc w:val="left"/>
      </w:pPr>
      <w:r>
        <w:rPr>
          <w:rFonts w:ascii="Arial" w:cs="Arial" w:eastAsia="Arial" w:hAnsi="Arial"/>
          <w:sz w:val="22"/>
          <w:szCs w:val="22"/>
        </w:rPr>
        <w:t xml:space="preserve">The taker ratio distribution at each event type reveals whether price arrives at a VWAP level with buy or sell aggression. A VWAP touch with taker ratio above 0.6 (strong buyer aggression) suggests a continuation above VWAP is more likely — buyers are not satisfied with VWAP pricing and are driving price above it. A touch with taker below 0.4 suggests sellers are dominating and a move back below VWAP is likely.</w:t>
      </w:r>
    </w:p>
    <w:p>
      <w:r>
        <w:br w:type="page"/>
      </w:r>
    </w:p>
    <w:p>
      <w:pPr>
        <w:pStyle w:val="Heading1"/>
        <w:pBdr>
          <w:bottom w:val="single" w:color="2E75B6" w:sz="8" w:space="4"/>
        </w:pBdr>
        <w:spacing w:after="160" w:before="400"/>
      </w:pPr>
      <w:r>
        <w:rPr>
          <w:rFonts w:ascii="Arial" w:cs="Arial" w:eastAsia="Arial" w:hAnsi="Arial"/>
          <w:b/>
          <w:bCs/>
          <w:color w:val="1A3A5C"/>
          <w:sz w:val="36"/>
          <w:szCs w:val="36"/>
        </w:rPr>
        <w:t xml:space="preserve">Section 6: Suggested Improvements &amp; Calibrations</w:t>
      </w:r>
    </w:p>
    <w:p>
      <w:pPr>
        <w:pStyle w:val="Heading2"/>
        <w:spacing w:after="120" w:before="320"/>
      </w:pPr>
      <w:r>
        <w:rPr>
          <w:rFonts w:ascii="Arial" w:cs="Arial" w:eastAsia="Arial" w:hAnsi="Arial"/>
          <w:b/>
          <w:bCs/>
          <w:color w:val="2E75B6"/>
          <w:sz w:val="28"/>
          <w:szCs w:val="28"/>
        </w:rPr>
        <w:t xml:space="preserve">6.1 Data Quality Improvements</w:t>
      </w:r>
    </w:p>
    <w:p>
      <w:pPr>
        <w:pStyle w:val="Heading3"/>
        <w:spacing w:after="80" w:before="240"/>
      </w:pPr>
      <w:r>
        <w:rPr>
          <w:rFonts w:ascii="Arial" w:cs="Arial" w:eastAsia="Arial" w:hAnsi="Arial"/>
          <w:b/>
          <w:bCs/>
          <w:color w:val="37474F"/>
          <w:sz w:val="24"/>
          <w:szCs w:val="24"/>
        </w:rPr>
        <w:t xml:space="preserve">A. Add AggTrades for Precise Delta</w:t>
      </w:r>
    </w:p>
    <w:p>
      <w:pPr>
        <w:spacing w:after="80" w:before="80"/>
        <w:jc w:val="left"/>
      </w:pPr>
      <w:r>
        <w:rPr>
          <w:rFonts w:ascii="Arial" w:cs="Arial" w:eastAsia="Arial" w:hAnsi="Arial"/>
          <w:sz w:val="22"/>
          <w:szCs w:val="22"/>
        </w:rPr>
        <w:t xml:space="preserve">The most impactful single improvement is providing the aggTrades CSV file (PATH_AGGTRADES). Currently, delta is approximated by distributing each kline's taker_buy_volume uniformly across the bar's price range. Real tick data enables precise per-price-level delta, which makes the Volume Profile delta analysis significantly more accurate — especially for the delta-at-HVN analysis and the swing endpoint exhaustion test.</w:t>
      </w:r>
    </w:p>
    <w:p>
      <w:pPr>
        <w:spacing w:after="80" w:before="80"/>
      </w:pPr>
      <w:r>
        <w:t xml:space="preserve"/>
      </w:r>
    </w:p>
    <w:p>
      <w:pPr>
        <w:pStyle w:val="Heading3"/>
        <w:spacing w:after="80" w:before="240"/>
      </w:pPr>
      <w:r>
        <w:rPr>
          <w:rFonts w:ascii="Arial" w:cs="Arial" w:eastAsia="Arial" w:hAnsi="Arial"/>
          <w:b/>
          <w:bCs/>
          <w:color w:val="37474F"/>
          <w:sz w:val="24"/>
          <w:szCs w:val="24"/>
        </w:rPr>
        <w:t xml:space="preserve">B. Extend the Data Window</w:t>
      </w:r>
    </w:p>
    <w:p>
      <w:pPr>
        <w:spacing w:after="80" w:before="80"/>
        <w:jc w:val="left"/>
      </w:pPr>
      <w:r>
        <w:rPr>
          <w:rFonts w:ascii="Arial" w:cs="Arial" w:eastAsia="Arial" w:hAnsi="Arial"/>
          <w:sz w:val="22"/>
          <w:szCs w:val="22"/>
        </w:rPr>
        <w:t xml:space="preserve">365 days is the minimum recommended by the notebook. For robustness, extending to 2–3 years of data (if available) would substantially increase the statistical power of all tests. Key events like trend regimes, high-volatility periods (March 2020, May 2021, FTX collapse in November 2022, ETF approval in January 2024) would each contribute distinct regime samples, improving the robustness of the calibration numbers.</w:t>
      </w:r>
    </w:p>
    <w:p>
      <w:pPr>
        <w:spacing w:after="80" w:before="80"/>
      </w:pPr>
      <w:r>
        <w:t xml:space="preserve"/>
      </w:r>
    </w:p>
    <w:p>
      <w:pPr>
        <w:pStyle w:val="Heading3"/>
        <w:spacing w:after="80" w:before="240"/>
      </w:pPr>
      <w:r>
        <w:rPr>
          <w:rFonts w:ascii="Arial" w:cs="Arial" w:eastAsia="Arial" w:hAnsi="Arial"/>
          <w:b/>
          <w:bCs/>
          <w:color w:val="37474F"/>
          <w:sz w:val="24"/>
          <w:szCs w:val="24"/>
        </w:rPr>
        <w:t xml:space="preserve">C. Regime-Split Analysis</w:t>
      </w:r>
    </w:p>
    <w:p>
      <w:pPr>
        <w:spacing w:after="80" w:before="80"/>
        <w:jc w:val="left"/>
      </w:pPr>
      <w:r>
        <w:rPr>
          <w:rFonts w:ascii="Arial" w:cs="Arial" w:eastAsia="Arial" w:hAnsi="Arial"/>
          <w:sz w:val="22"/>
          <w:szCs w:val="22"/>
        </w:rPr>
        <w:t xml:space="preserve">A significant improvement would be splitting the 365-day dataset into bull market, bear market, and ranging sub-periods and re-running all four phases independently. The parameters that work in a trending regime (e.g., breakout volume thresholds, VWAP band distances) are likely materially different from those that work in a ranging regime. Currently the notebook averages across all regimes.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E65100" w:val="clear"/>
            <w:tcMar>
              <w:top w:type="dxa" w:w="100"/>
              <w:left w:type="dxa" w:w="180"/>
              <w:bottom w:type="dxa" w:w="100"/>
              <w:right w:type="dxa" w:w="180"/>
            </w:tcMar>
          </w:tcPr>
          <w:p>
            <w:r>
              <w:rPr>
                <w:rFonts w:ascii="Arial" w:cs="Arial" w:eastAsia="Arial" w:hAnsi="Arial"/>
                <w:b/>
                <w:bCs/>
                <w:color w:val="FFFFFF"/>
                <w:sz w:val="22"/>
                <w:szCs w:val="22"/>
              </w:rPr>
              <w:t xml:space="preserve">Implementation: Regime Detection</w:t>
            </w:r>
          </w:p>
        </w:tc>
      </w:tr>
      <w:tr>
        <w:tc>
          <w:tcPr>
            <w:tcW w:type="dxa" w:w="9360"/>
            <w:tcBorders>
              <w:top w:val="single" w:color="E65100" w:sz="1"/>
              <w:left w:val="single" w:color="E65100" w:sz="1"/>
              <w:bottom w:val="single" w:color="E65100" w:sz="1"/>
              <w:right w:val="single" w:color="E65100" w:sz="1"/>
            </w:tcBorders>
            <w:shd w:fill="FFF3E0" w:val="clear"/>
            <w:tcMar>
              <w:top w:type="dxa" w:w="60"/>
              <w:left w:type="dxa" w:w="180"/>
              <w:bottom w:type="dxa" w:w="60"/>
              <w:right w:type="dxa" w:w="180"/>
            </w:tcMar>
          </w:tcPr>
          <w:p>
            <w:r>
              <w:rPr>
                <w:rFonts w:ascii="Arial" w:cs="Arial" w:eastAsia="Arial" w:hAnsi="Arial"/>
                <w:sz w:val="21"/>
                <w:szCs w:val="21"/>
              </w:rPr>
              <w:t xml:space="preserve">  Method 1: 200-day SMA slope — price above rising SMA = bull, below falling SMA = bear</w:t>
            </w:r>
          </w:p>
        </w:tc>
      </w:tr>
      <w:tr>
        <w:tc>
          <w:tcPr>
            <w:tcW w:type="dxa" w:w="9360"/>
            <w:tcBorders>
              <w:top w:val="single" w:color="E65100" w:sz="1"/>
              <w:left w:val="single" w:color="E65100" w:sz="1"/>
              <w:bottom w:val="single" w:color="E65100" w:sz="1"/>
              <w:right w:val="single" w:color="E65100" w:sz="1"/>
            </w:tcBorders>
            <w:shd w:fill="FFF3E0" w:val="clear"/>
            <w:tcMar>
              <w:top w:type="dxa" w:w="60"/>
              <w:left w:type="dxa" w:w="180"/>
              <w:bottom w:type="dxa" w:w="60"/>
              <w:right w:type="dxa" w:w="180"/>
            </w:tcMar>
          </w:tcPr>
          <w:p>
            <w:r>
              <w:rPr>
                <w:rFonts w:ascii="Arial" w:cs="Arial" w:eastAsia="Arial" w:hAnsi="Arial"/>
                <w:sz w:val="21"/>
                <w:szCs w:val="21"/>
              </w:rPr>
              <w:t xml:space="preserve">  Method 2: 90-day rolling drawdown — &gt;30% from ATH = bear regime</w:t>
            </w:r>
          </w:p>
        </w:tc>
      </w:tr>
      <w:tr>
        <w:tc>
          <w:tcPr>
            <w:tcW w:type="dxa" w:w="9360"/>
            <w:tcBorders>
              <w:top w:val="single" w:color="E65100" w:sz="1"/>
              <w:left w:val="single" w:color="E65100" w:sz="1"/>
              <w:bottom w:val="single" w:color="E65100" w:sz="1"/>
              <w:right w:val="single" w:color="E65100" w:sz="1"/>
            </w:tcBorders>
            <w:shd w:fill="FFF3E0" w:val="clear"/>
            <w:tcMar>
              <w:top w:type="dxa" w:w="60"/>
              <w:left w:type="dxa" w:w="180"/>
              <w:bottom w:type="dxa" w:w="60"/>
              <w:right w:type="dxa" w:w="180"/>
            </w:tcMar>
          </w:tcPr>
          <w:p>
            <w:r>
              <w:rPr>
                <w:rFonts w:ascii="Arial" w:cs="Arial" w:eastAsia="Arial" w:hAnsi="Arial"/>
                <w:sz w:val="21"/>
                <w:szCs w:val="21"/>
              </w:rPr>
              <w:t xml:space="preserve">  Method 3: Realized volatility quartile — high vol = volatile regime, low vol = trending</w:t>
            </w:r>
          </w:p>
        </w:tc>
      </w:tr>
      <w:tr>
        <w:tc>
          <w:tcPr>
            <w:tcW w:type="dxa" w:w="9360"/>
            <w:tcBorders>
              <w:top w:val="single" w:color="E65100" w:sz="1"/>
              <w:left w:val="single" w:color="E65100" w:sz="1"/>
              <w:bottom w:val="single" w:color="E65100" w:sz="1"/>
              <w:right w:val="single" w:color="E65100" w:sz="1"/>
            </w:tcBorders>
            <w:shd w:fill="FFF3E0" w:val="clear"/>
            <w:tcMar>
              <w:top w:type="dxa" w:w="60"/>
              <w:left w:type="dxa" w:w="180"/>
              <w:bottom w:type="dxa" w:w="60"/>
              <w:right w:type="dxa" w:w="180"/>
            </w:tcMar>
          </w:tcPr>
          <w:p>
            <w:r>
              <w:rPr>
                <w:rFonts w:ascii="Arial" w:cs="Arial" w:eastAsia="Arial" w:hAnsi="Arial"/>
                <w:sz w:val="21"/>
                <w:szCs w:val="21"/>
              </w:rPr>
              <w:t xml:space="preserve">  Add 'regime' column to df1m, then groupby regime in all phase summaries</w:t>
            </w:r>
          </w:p>
        </w:tc>
      </w:tr>
    </w:tbl>
    <w:p>
      <w:pPr>
        <w:spacing w:after="80" w:before="80"/>
      </w:pPr>
      <w:r>
        <w:t xml:space="preserve"/>
      </w:r>
    </w:p>
    <w:p>
      <w:pPr>
        <w:pStyle w:val="Heading2"/>
        <w:spacing w:after="120" w:before="320"/>
      </w:pPr>
      <w:r>
        <w:rPr>
          <w:rFonts w:ascii="Arial" w:cs="Arial" w:eastAsia="Arial" w:hAnsi="Arial"/>
          <w:b/>
          <w:bCs/>
          <w:color w:val="2E75B6"/>
          <w:sz w:val="28"/>
          <w:szCs w:val="28"/>
        </w:rPr>
        <w:t xml:space="preserve">6.2 Volume Profile Improvements</w:t>
      </w:r>
    </w:p>
    <w:p>
      <w:pPr>
        <w:pStyle w:val="Heading3"/>
        <w:spacing w:after="80" w:before="240"/>
      </w:pPr>
      <w:r>
        <w:rPr>
          <w:rFonts w:ascii="Arial" w:cs="Arial" w:eastAsia="Arial" w:hAnsi="Arial"/>
          <w:b/>
          <w:bCs/>
          <w:color w:val="37474F"/>
          <w:sz w:val="24"/>
          <w:szCs w:val="24"/>
        </w:rPr>
        <w:t xml:space="preserve">A. Refine VP Bucket Size Dynamically</w:t>
      </w:r>
    </w:p>
    <w:p>
      <w:pPr>
        <w:spacing w:after="80" w:before="80"/>
        <w:jc w:val="left"/>
      </w:pPr>
      <w:r>
        <w:rPr>
          <w:rFonts w:ascii="Arial" w:cs="Arial" w:eastAsia="Arial" w:hAnsi="Arial"/>
          <w:sz w:val="22"/>
          <w:szCs w:val="22"/>
        </w:rPr>
        <w:t xml:space="preserve">The fixed $10 bucket size is appropriate for BTC at ~$80k (giving ~8000 levels) but becomes either too fine or too coarse as price moves. A better approach is to set the bucket size as a fixed fraction of price — e.g., 0.01% of the session close — so the profile resolution is proportional regardless of price level.</w:t>
      </w:r>
    </w:p>
    <w:p>
      <w:pPr>
        <w:spacing w:after="80" w:before="80"/>
      </w:pPr>
      <w:r>
        <w:t xml:space="preserve"/>
      </w:r>
    </w:p>
    <w:p>
      <w:pPr>
        <w:spacing w:after="80" w:before="80"/>
        <w:jc w:val="left"/>
      </w:pPr>
      <w:r>
        <w:rPr>
          <w:rFonts w:ascii="Arial" w:cs="Arial" w:eastAsia="Arial" w:hAnsi="Arial"/>
          <w:sz w:val="22"/>
          <w:szCs w:val="22"/>
        </w:rPr>
        <w:t xml:space="preserve">Suggested change in Cell 2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Suggested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VP_BUCKET_SIZE: 10.0 (fixed USD)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VP_BUCKET_PCT: 0.0001 (0.01% of price)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No adaptation to price level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Recalculate bucket_size = close * VP_BUCKET_PCT each session</w:t>
            </w:r>
          </w:p>
        </w:tc>
      </w:tr>
    </w:tbl>
    <w:p>
      <w:pPr>
        <w:spacing w:after="80" w:before="80"/>
      </w:pPr>
      <w:r>
        <w:t xml:space="preserve"/>
      </w:r>
    </w:p>
    <w:p>
      <w:pPr>
        <w:pStyle w:val="Heading3"/>
        <w:spacing w:after="80" w:before="240"/>
      </w:pPr>
      <w:r>
        <w:rPr>
          <w:rFonts w:ascii="Arial" w:cs="Arial" w:eastAsia="Arial" w:hAnsi="Arial"/>
          <w:b/>
          <w:bCs/>
          <w:color w:val="37474F"/>
          <w:sz w:val="24"/>
          <w:szCs w:val="24"/>
        </w:rPr>
        <w:t xml:space="preserve">B. Add Weekly Profile Layer</w:t>
      </w:r>
    </w:p>
    <w:p>
      <w:pPr>
        <w:spacing w:after="80" w:before="80"/>
        <w:jc w:val="left"/>
      </w:pPr>
      <w:r>
        <w:rPr>
          <w:rFonts w:ascii="Arial" w:cs="Arial" w:eastAsia="Arial" w:hAnsi="Arial"/>
          <w:sz w:val="22"/>
          <w:szCs w:val="22"/>
        </w:rPr>
        <w:t xml:space="preserve">Daily profiles are valuable, but weekly Volume Profiles capture the longer-term structure that institutional players and swing traders anchor to. Adding a weekly profile layer (7-day rolling) would provide an additional set of HVN/LVN/POC references that sit above the daily profiles in the hierarchy. The notebook's architecture already supports this — it just requires adding '1W' to the profile loop.</w:t>
      </w:r>
    </w:p>
    <w:p>
      <w:pPr>
        <w:spacing w:after="80" w:before="80"/>
      </w:pPr>
      <w:r>
        <w:t xml:space="preserve"/>
      </w:r>
    </w:p>
    <w:p>
      <w:pPr>
        <w:pStyle w:val="Heading3"/>
        <w:spacing w:after="80" w:before="240"/>
      </w:pPr>
      <w:r>
        <w:rPr>
          <w:rFonts w:ascii="Arial" w:cs="Arial" w:eastAsia="Arial" w:hAnsi="Arial"/>
          <w:b/>
          <w:bCs/>
          <w:color w:val="37474F"/>
          <w:sz w:val="24"/>
          <w:szCs w:val="24"/>
        </w:rPr>
        <w:t xml:space="preserve">C. Composite Delta Score at HVN</w:t>
      </w:r>
    </w:p>
    <w:p>
      <w:pPr>
        <w:spacing w:after="80" w:before="80"/>
        <w:jc w:val="left"/>
      </w:pPr>
      <w:r>
        <w:rPr>
          <w:rFonts w:ascii="Arial" w:cs="Arial" w:eastAsia="Arial" w:hAnsi="Arial"/>
          <w:sz w:val="22"/>
          <w:szCs w:val="22"/>
        </w:rPr>
        <w:t xml:space="preserve">Currently the HVN delta classification is binary (positive or negative). A more nuanced approach would compute the cumulative delta at each HVN as a percentage of total session volume — e.g., a node with +15% delta concentration is a much stronger support signal than one with +1% delta. This would allow ranking HVNs by delta strength, not just direction.</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6.3 Fractal Structure Improvements</w:t>
      </w:r>
    </w:p>
    <w:p>
      <w:pPr>
        <w:pStyle w:val="Heading3"/>
        <w:spacing w:after="80" w:before="240"/>
      </w:pPr>
      <w:r>
        <w:rPr>
          <w:rFonts w:ascii="Arial" w:cs="Arial" w:eastAsia="Arial" w:hAnsi="Arial"/>
          <w:b/>
          <w:bCs/>
          <w:color w:val="37474F"/>
          <w:sz w:val="24"/>
          <w:szCs w:val="24"/>
        </w:rPr>
        <w:t xml:space="preserve">A. Add ADX for Trend Strength Quantification</w:t>
      </w:r>
    </w:p>
    <w:p>
      <w:pPr>
        <w:spacing w:after="80" w:before="80"/>
        <w:jc w:val="left"/>
      </w:pPr>
      <w:r>
        <w:rPr>
          <w:rFonts w:ascii="Arial" w:cs="Arial" w:eastAsia="Arial" w:hAnsi="Arial"/>
          <w:sz w:val="22"/>
          <w:szCs w:val="22"/>
        </w:rPr>
        <w:t xml:space="preserve">The directional efficiency metric is a good custom measure, but the industry-standard Average Directional Index (ADX) should be added as a parallel metric. ADX above 25 is conventionally considered a trending market; below 20 is ranging. Comparing the notebook's dir_efficiency metric against ADX would validate the custom metric and provide a benchmark that connects to published research.</w:t>
      </w:r>
    </w:p>
    <w:p>
      <w:pPr>
        <w:spacing w:after="80" w:before="80"/>
      </w:pPr>
      <w:r>
        <w:t xml:space="preserve"/>
      </w:r>
    </w:p>
    <w:p>
      <w:pPr>
        <w:pStyle w:val="Heading3"/>
        <w:spacing w:after="80" w:before="240"/>
      </w:pPr>
      <w:r>
        <w:rPr>
          <w:rFonts w:ascii="Arial" w:cs="Arial" w:eastAsia="Arial" w:hAnsi="Arial"/>
          <w:b/>
          <w:bCs/>
          <w:color w:val="37474F"/>
          <w:sz w:val="24"/>
          <w:szCs w:val="24"/>
        </w:rPr>
        <w:t xml:space="preserve">B. Weighted Alignment Score</w:t>
      </w:r>
    </w:p>
    <w:p>
      <w:pPr>
        <w:spacing w:after="80" w:before="80"/>
        <w:jc w:val="left"/>
      </w:pPr>
      <w:r>
        <w:rPr>
          <w:rFonts w:ascii="Arial" w:cs="Arial" w:eastAsia="Arial" w:hAnsi="Arial"/>
          <w:sz w:val="22"/>
          <w:szCs w:val="22"/>
        </w:rPr>
        <w:t xml:space="preserve">The current alignment score weights all four timeframes equally (+1 each). A weighted version — where higher timeframes carry more weight (e.g., 1m=1, 5m=2, 15m=3, 1H=4) — would give a maximum score of ±10 rather than ±4. This would better reflect the principle that higher timeframe trend direction dominates lower timeframe noise.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Current Weight</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Suggested Weight</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Noise-dominated</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5m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Entry-level context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15m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Swing context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Dominant bias</w:t>
            </w:r>
          </w:p>
        </w:tc>
      </w:tr>
    </w:tbl>
    <w:p>
      <w:pPr>
        <w:spacing w:after="80" w:before="80"/>
      </w:pPr>
      <w:r>
        <w:t xml:space="preserve"/>
      </w:r>
    </w:p>
    <w:p>
      <w:pPr>
        <w:pStyle w:val="Heading3"/>
        <w:spacing w:after="80" w:before="240"/>
      </w:pPr>
      <w:r>
        <w:rPr>
          <w:rFonts w:ascii="Arial" w:cs="Arial" w:eastAsia="Arial" w:hAnsi="Arial"/>
          <w:b/>
          <w:bCs/>
          <w:color w:val="37474F"/>
          <w:sz w:val="24"/>
          <w:szCs w:val="24"/>
        </w:rPr>
        <w:t xml:space="preserve">C. Add Time-of-Day Segmentation</w:t>
      </w:r>
    </w:p>
    <w:p>
      <w:pPr>
        <w:spacing w:after="80" w:before="80"/>
        <w:jc w:val="left"/>
      </w:pPr>
      <w:r>
        <w:rPr>
          <w:rFonts w:ascii="Arial" w:cs="Arial" w:eastAsia="Arial" w:hAnsi="Arial"/>
          <w:sz w:val="22"/>
          <w:szCs w:val="22"/>
        </w:rPr>
        <w:t xml:space="preserve">The fractal analysis currently ignores time-of-day effects. Bitcoin markets are global but show distinct liquidity patterns: Asian session (00:00–08:00 UTC) tends to be lower volume and range-bound; London open (08:00–09:00 UTC) shows a volatility expansion; US session (13:30–20:00 UTC) is highest volume and most directional. Segmenting the directional efficiency analysis by session would reveal which session is most suitable for trend-following versus mean-reversion strategies.</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6.4 Phase 3 (Key Moments) Improvements</w:t>
      </w:r>
    </w:p>
    <w:p>
      <w:pPr>
        <w:pStyle w:val="Heading3"/>
        <w:spacing w:after="80" w:before="240"/>
      </w:pPr>
      <w:r>
        <w:rPr>
          <w:rFonts w:ascii="Arial" w:cs="Arial" w:eastAsia="Arial" w:hAnsi="Arial"/>
          <w:b/>
          <w:bCs/>
          <w:color w:val="37474F"/>
          <w:sz w:val="24"/>
          <w:szCs w:val="24"/>
        </w:rPr>
        <w:t xml:space="preserve">A. Loosen Breakout Definition with Volume Gate</w:t>
      </w:r>
    </w:p>
    <w:p>
      <w:pPr>
        <w:spacing w:after="80" w:before="80"/>
        <w:jc w:val="left"/>
      </w:pPr>
      <w:r>
        <w:rPr>
          <w:rFonts w:ascii="Arial" w:cs="Arial" w:eastAsia="Arial" w:hAnsi="Arial"/>
          <w:sz w:val="22"/>
          <w:szCs w:val="22"/>
        </w:rPr>
        <w:t xml:space="preserve">The current breakout definition requires BOTH a structural break (close beyond 20-bar high/low) AND a large bar (1.5× ATR). This double filter may be too restrictive, excluding genuine breakouts that are high-conviction but not abnormally large bars. An alternative: define breakout purely structurally (close beyond 20-bar high/low) and let the volume gate distinguish genuine from failed. This tests the hypothesis that volume alone is sufficient to classify breakout quality.</w:t>
      </w:r>
    </w:p>
    <w:p>
      <w:pPr>
        <w:spacing w:after="80" w:before="80"/>
      </w:pPr>
      <w:r>
        <w:t xml:space="preserve"/>
      </w:r>
    </w:p>
    <w:p>
      <w:pPr>
        <w:pStyle w:val="Heading3"/>
        <w:spacing w:after="80" w:before="240"/>
      </w:pPr>
      <w:r>
        <w:rPr>
          <w:rFonts w:ascii="Arial" w:cs="Arial" w:eastAsia="Arial" w:hAnsi="Arial"/>
          <w:b/>
          <w:bCs/>
          <w:color w:val="37474F"/>
          <w:sz w:val="24"/>
          <w:szCs w:val="24"/>
        </w:rPr>
        <w:t xml:space="preserve">B. Add Follow-Through Measurement</w:t>
      </w:r>
    </w:p>
    <w:p>
      <w:pPr>
        <w:spacing w:after="80" w:before="80"/>
        <w:jc w:val="left"/>
      </w:pPr>
      <w:r>
        <w:rPr>
          <w:rFonts w:ascii="Arial" w:cs="Arial" w:eastAsia="Arial" w:hAnsi="Arial"/>
          <w:sz w:val="22"/>
          <w:szCs w:val="22"/>
        </w:rPr>
        <w:t xml:space="preserve">The current 12-bar (1-hour) forward window for classifying genuine vs failed is somewhat arbitrary. The improvement is to measure the maximum favorable excursion (MFE) and maximum adverse excursion (MAE) over multiple horizons (1H, 4H, 24H) for each breakout type. This produces the inputs for setting profit targets and stop levels in the trading plan.</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6.5 Phase 4 (VWAP) Improvements</w:t>
      </w:r>
    </w:p>
    <w:p>
      <w:pPr>
        <w:pStyle w:val="Heading3"/>
        <w:spacing w:after="80" w:before="240"/>
      </w:pPr>
      <w:r>
        <w:rPr>
          <w:rFonts w:ascii="Arial" w:cs="Arial" w:eastAsia="Arial" w:hAnsi="Arial"/>
          <w:b/>
          <w:bCs/>
          <w:color w:val="37474F"/>
          <w:sz w:val="24"/>
          <w:szCs w:val="24"/>
        </w:rPr>
        <w:t xml:space="preserve">A. Add Anchored VWAP from Key Swing Points</w:t>
      </w:r>
    </w:p>
    <w:p>
      <w:pPr>
        <w:spacing w:after="80" w:before="80"/>
        <w:jc w:val="left"/>
      </w:pPr>
      <w:r>
        <w:rPr>
          <w:rFonts w:ascii="Arial" w:cs="Arial" w:eastAsia="Arial" w:hAnsi="Arial"/>
          <w:sz w:val="22"/>
          <w:szCs w:val="22"/>
        </w:rPr>
        <w:t xml:space="preserve">Daily-reset VWAP is the most common implementation but misses multi-day institutional positioning. Anchored VWAP — computed from a significant swing low or high — is increasingly used by professional traders. Adding AVWAP from the most recent major swing (defined as a 2× ATR move exceeding the prior 20-day range) would provide an additional reference level that captures longer-term fair value.</w:t>
      </w:r>
    </w:p>
    <w:p>
      <w:pPr>
        <w:spacing w:after="80" w:before="80"/>
      </w:pPr>
      <w:r>
        <w:t xml:space="preserve"/>
      </w:r>
    </w:p>
    <w:p>
      <w:pPr>
        <w:pStyle w:val="Heading3"/>
        <w:spacing w:after="80" w:before="240"/>
      </w:pPr>
      <w:r>
        <w:rPr>
          <w:rFonts w:ascii="Arial" w:cs="Arial" w:eastAsia="Arial" w:hAnsi="Arial"/>
          <w:b/>
          <w:bCs/>
          <w:color w:val="37474F"/>
          <w:sz w:val="24"/>
          <w:szCs w:val="24"/>
        </w:rPr>
        <w:t xml:space="preserve">B. Session VWAP Bands — Standard Deviation Re-evaluation</w:t>
      </w:r>
    </w:p>
    <w:p>
      <w:pPr>
        <w:spacing w:after="80" w:before="80"/>
        <w:jc w:val="left"/>
      </w:pPr>
      <w:r>
        <w:rPr>
          <w:rFonts w:ascii="Arial" w:cs="Arial" w:eastAsia="Arial" w:hAnsi="Arial"/>
          <w:sz w:val="22"/>
          <w:szCs w:val="22"/>
        </w:rPr>
        <w:t xml:space="preserve">The expanding standard deviation approach makes the bands wider as the session progresses — correct behaviour. However, in highly trending sessions, the first 60–90 minutes of VWAP data have very narrow bands, making the 2σ threshold meaningless early in the session. A minimum band width based on the prior day's ATR should be added to avoid false proximity signals in early session trading.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96B" w:sz="1"/>
              <w:left w:val="single" w:color="00796B" w:sz="1"/>
              <w:bottom w:val="single" w:color="00796B" w:sz="1"/>
              <w:right w:val="single" w:color="00796B" w:sz="1"/>
            </w:tcBorders>
            <w:shd w:fill="00796B" w:val="clear"/>
            <w:tcMar>
              <w:top w:type="dxa" w:w="100"/>
              <w:left w:type="dxa" w:w="180"/>
              <w:bottom w:type="dxa" w:w="100"/>
              <w:right w:type="dxa" w:w="180"/>
            </w:tcMar>
          </w:tcPr>
          <w:p>
            <w:r>
              <w:rPr>
                <w:rFonts w:ascii="Arial" w:cs="Arial" w:eastAsia="Arial" w:hAnsi="Arial"/>
                <w:b/>
                <w:bCs/>
                <w:color w:val="FFFFFF"/>
                <w:sz w:val="22"/>
                <w:szCs w:val="22"/>
              </w:rPr>
              <w:t xml:space="preserve">Additional Calibration Suggestions</w:t>
            </w:r>
          </w:p>
        </w:tc>
      </w:tr>
      <w:tr>
        <w:tc>
          <w:tcPr>
            <w:tcW w:type="dxa" w:w="9360"/>
            <w:tcBorders>
              <w:top w:val="single" w:color="00796B" w:sz="1"/>
              <w:left w:val="single" w:color="00796B" w:sz="1"/>
              <w:bottom w:val="single" w:color="00796B" w:sz="1"/>
              <w:right w:val="single" w:color="00796B" w:sz="1"/>
            </w:tcBorders>
            <w:shd w:fill="E0F2F1" w:val="clear"/>
            <w:tcMar>
              <w:top w:type="dxa" w:w="60"/>
              <w:left w:type="dxa" w:w="180"/>
              <w:bottom w:type="dxa" w:w="60"/>
              <w:right w:type="dxa" w:w="180"/>
            </w:tcMar>
          </w:tcPr>
          <w:p>
            <w:r>
              <w:rPr>
                <w:rFonts w:ascii="Arial" w:cs="Arial" w:eastAsia="Arial" w:hAnsi="Arial"/>
                <w:sz w:val="21"/>
                <w:szCs w:val="21"/>
              </w:rPr>
              <w:t xml:space="preserve">  Minimum sample size gates:  Suppress results where n &lt; 30 per category to avoid spurious precision</w:t>
            </w:r>
          </w:p>
        </w:tc>
      </w:tr>
      <w:tr>
        <w:tc>
          <w:tcPr>
            <w:tcW w:type="dxa" w:w="9360"/>
            <w:tcBorders>
              <w:top w:val="single" w:color="00796B" w:sz="1"/>
              <w:left w:val="single" w:color="00796B" w:sz="1"/>
              <w:bottom w:val="single" w:color="00796B" w:sz="1"/>
              <w:right w:val="single" w:color="00796B" w:sz="1"/>
            </w:tcBorders>
            <w:shd w:fill="E0F2F1" w:val="clear"/>
            <w:tcMar>
              <w:top w:type="dxa" w:w="60"/>
              <w:left w:type="dxa" w:w="180"/>
              <w:bottom w:type="dxa" w:w="60"/>
              <w:right w:type="dxa" w:w="180"/>
            </w:tcMar>
          </w:tcPr>
          <w:p>
            <w:r>
              <w:rPr>
                <w:rFonts w:ascii="Arial" w:cs="Arial" w:eastAsia="Arial" w:hAnsi="Arial"/>
                <w:sz w:val="21"/>
                <w:szCs w:val="21"/>
              </w:rPr>
              <w:t xml:space="preserve">  Bootstrap confidence intervals:  Add 95% CI to all mean forward return figures</w:t>
            </w:r>
          </w:p>
        </w:tc>
      </w:tr>
      <w:tr>
        <w:tc>
          <w:tcPr>
            <w:tcW w:type="dxa" w:w="9360"/>
            <w:tcBorders>
              <w:top w:val="single" w:color="00796B" w:sz="1"/>
              <w:left w:val="single" w:color="00796B" w:sz="1"/>
              <w:bottom w:val="single" w:color="00796B" w:sz="1"/>
              <w:right w:val="single" w:color="00796B" w:sz="1"/>
            </w:tcBorders>
            <w:shd w:fill="E0F2F1" w:val="clear"/>
            <w:tcMar>
              <w:top w:type="dxa" w:w="60"/>
              <w:left w:type="dxa" w:w="180"/>
              <w:bottom w:type="dxa" w:w="60"/>
              <w:right w:type="dxa" w:w="180"/>
            </w:tcMar>
          </w:tcPr>
          <w:p>
            <w:r>
              <w:rPr>
                <w:rFonts w:ascii="Arial" w:cs="Arial" w:eastAsia="Arial" w:hAnsi="Arial"/>
                <w:sz w:val="21"/>
                <w:szCs w:val="21"/>
              </w:rPr>
              <w:t xml:space="preserve">  Out-of-sample validation:  Run the full observation notebook on the most recent 90 days separately</w:t>
            </w:r>
          </w:p>
        </w:tc>
      </w:tr>
      <w:tr>
        <w:tc>
          <w:tcPr>
            <w:tcW w:type="dxa" w:w="9360"/>
            <w:tcBorders>
              <w:top w:val="single" w:color="00796B" w:sz="1"/>
              <w:left w:val="single" w:color="00796B" w:sz="1"/>
              <w:bottom w:val="single" w:color="00796B" w:sz="1"/>
              <w:right w:val="single" w:color="00796B" w:sz="1"/>
            </w:tcBorders>
            <w:shd w:fill="E0F2F1" w:val="clear"/>
            <w:tcMar>
              <w:top w:type="dxa" w:w="60"/>
              <w:left w:type="dxa" w:w="180"/>
              <w:bottom w:type="dxa" w:w="60"/>
              <w:right w:type="dxa" w:w="180"/>
            </w:tcMar>
          </w:tcPr>
          <w:p>
            <w:r>
              <w:rPr>
                <w:rFonts w:ascii="Arial" w:cs="Arial" w:eastAsia="Arial" w:hAnsi="Arial"/>
                <w:sz w:val="21"/>
                <w:szCs w:val="21"/>
              </w:rPr>
              <w:t xml:space="preserve">  Cross-asset comparison:  Run the same notebook on ETHUSDT and SOLUSDT; compare calibration numbers</w:t>
            </w:r>
          </w:p>
        </w:tc>
      </w:tr>
      <w:tr>
        <w:tc>
          <w:tcPr>
            <w:tcW w:type="dxa" w:w="9360"/>
            <w:tcBorders>
              <w:top w:val="single" w:color="00796B" w:sz="1"/>
              <w:left w:val="single" w:color="00796B" w:sz="1"/>
              <w:bottom w:val="single" w:color="00796B" w:sz="1"/>
              <w:right w:val="single" w:color="00796B" w:sz="1"/>
            </w:tcBorders>
            <w:shd w:fill="E0F2F1" w:val="clear"/>
            <w:tcMar>
              <w:top w:type="dxa" w:w="60"/>
              <w:left w:type="dxa" w:w="180"/>
              <w:bottom w:type="dxa" w:w="60"/>
              <w:right w:type="dxa" w:w="180"/>
            </w:tcMar>
          </w:tcPr>
          <w:p>
            <w:r>
              <w:rPr>
                <w:rFonts w:ascii="Arial" w:cs="Arial" w:eastAsia="Arial" w:hAnsi="Arial"/>
                <w:sz w:val="21"/>
                <w:szCs w:val="21"/>
              </w:rPr>
              <w:t xml:space="preserve">  Funding rate integration:  Add perp funding rate as a regime variable for crypto-specific context</w:t>
            </w:r>
          </w:p>
        </w:tc>
      </w:tr>
    </w:tbl>
    <w:p>
      <w:r>
        <w:br w:type="page"/>
      </w:r>
    </w:p>
    <w:p>
      <w:pPr>
        <w:pStyle w:val="Heading1"/>
        <w:pBdr>
          <w:bottom w:val="single" w:color="2E75B6" w:sz="8" w:space="4"/>
        </w:pBdr>
        <w:spacing w:after="160" w:before="400"/>
      </w:pPr>
      <w:r>
        <w:rPr>
          <w:rFonts w:ascii="Arial" w:cs="Arial" w:eastAsia="Arial" w:hAnsi="Arial"/>
          <w:b/>
          <w:bCs/>
          <w:color w:val="1A3A5C"/>
          <w:sz w:val="36"/>
          <w:szCs w:val="36"/>
        </w:rPr>
        <w:t xml:space="preserve">Section 7: BTCUSDT Trading Plan</w:t>
      </w:r>
    </w:p>
    <w:p>
      <w:pPr>
        <w:spacing w:after="80" w:before="80"/>
        <w:jc w:val="left"/>
      </w:pPr>
      <w:r>
        <w:rPr>
          <w:rFonts w:ascii="Arial" w:cs="Arial" w:eastAsia="Arial" w:hAnsi="Arial"/>
          <w:sz w:val="22"/>
          <w:szCs w:val="22"/>
        </w:rPr>
        <w:t xml:space="preserve">The following trading plan is derived entirely from the empirical findings of this research notebook. It translates the calibration numbers into executable rules. This is not financial advice. All parameters should be re-calibrated after each major market regime change.</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7.1 Trading Plan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BTCUSDT Perpetual Futures (Binance)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Primary Timeframe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5-minute (entry execution)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Context Timeframes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15-minute (swing), 1-Hour (trend bias)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Session Focus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London Open (08:00–10:00 UTC) + NY Open (13:30–16:00 UTC)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Max Daily Trades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3 (quality over quantity)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Risk Per Trade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0.5–1.0% of account equity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Leverage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2–5× maximum (position sized to risk, not leverage)</w:t>
            </w:r>
          </w:p>
        </w:tc>
      </w:tr>
    </w:tbl>
    <w:p>
      <w:pPr>
        <w:spacing w:after="80" w:before="80"/>
      </w:pPr>
      <w:r>
        <w:t xml:space="preserve"/>
      </w:r>
    </w:p>
    <w:p>
      <w:pPr>
        <w:pStyle w:val="Heading2"/>
        <w:spacing w:after="120" w:before="320"/>
      </w:pPr>
      <w:r>
        <w:rPr>
          <w:rFonts w:ascii="Arial" w:cs="Arial" w:eastAsia="Arial" w:hAnsi="Arial"/>
          <w:b/>
          <w:bCs/>
          <w:color w:val="2E75B6"/>
          <w:sz w:val="28"/>
          <w:szCs w:val="28"/>
        </w:rPr>
        <w:t xml:space="preserve">7.2 Pre-Session Preparation (Daily Ritual)</w:t>
      </w:r>
    </w:p>
    <w:p>
      <w:pPr>
        <w:spacing w:after="80" w:before="80"/>
        <w:jc w:val="left"/>
      </w:pPr>
      <w:r>
        <w:rPr>
          <w:rFonts w:ascii="Arial" w:cs="Arial" w:eastAsia="Arial" w:hAnsi="Arial"/>
          <w:sz w:val="22"/>
          <w:szCs w:val="22"/>
        </w:rPr>
        <w:t xml:space="preserve">Before each trading session, the following reference levels must be marked on the chart:</w:t>
      </w:r>
    </w:p>
    <w:p>
      <w:pPr>
        <w:spacing w:after="80" w:before="80"/>
      </w:pPr>
      <w:r>
        <w:t xml:space="preserve"/>
      </w:r>
    </w:p>
    <w:p>
      <w:pPr>
        <w:pStyle w:val="ListParagraph"/>
        <w:numPr>
          <w:ilvl w:val="0"/>
          <w:numId w:val="3"/>
        </w:numPr>
        <w:spacing w:after="40" w:before="40"/>
      </w:pPr>
      <w:r>
        <w:rPr>
          <w:rFonts w:ascii="Arial" w:cs="Arial" w:eastAsia="Arial" w:hAnsi="Arial"/>
          <w:b/>
          <w:bCs/>
          <w:sz w:val="22"/>
          <w:szCs w:val="22"/>
        </w:rPr>
        <w:t xml:space="preserve">Step 1 — Mark VP Levels:  </w:t>
      </w:r>
      <w:r>
        <w:rPr>
          <w:rFonts w:ascii="Arial" w:cs="Arial" w:eastAsia="Arial" w:hAnsi="Arial"/>
          <w:sz w:val="22"/>
          <w:szCs w:val="22"/>
        </w:rPr>
        <w:t xml:space="preserve">Identify prior session POC, VAH, and VAL from the volume profile</w:t>
      </w:r>
    </w:p>
    <w:p>
      <w:pPr>
        <w:pStyle w:val="ListParagraph"/>
        <w:numPr>
          <w:ilvl w:val="0"/>
          <w:numId w:val="3"/>
        </w:numPr>
        <w:spacing w:after="40" w:before="40"/>
      </w:pPr>
      <w:r>
        <w:rPr>
          <w:rFonts w:ascii="Arial" w:cs="Arial" w:eastAsia="Arial" w:hAnsi="Arial"/>
          <w:b/>
          <w:bCs/>
          <w:sz w:val="22"/>
          <w:szCs w:val="22"/>
        </w:rPr>
        <w:t xml:space="preserve">Step 2 — Mark HVN/LVN Nodes:  </w:t>
      </w:r>
      <w:r>
        <w:rPr>
          <w:rFonts w:ascii="Arial" w:cs="Arial" w:eastAsia="Arial" w:hAnsi="Arial"/>
          <w:sz w:val="22"/>
          <w:szCs w:val="22"/>
        </w:rPr>
        <w:t xml:space="preserve">Identify the top 3 HVNs and top 3 LVNs from the prior session profile; annotate with delta sign (buy or sell)</w:t>
      </w:r>
    </w:p>
    <w:p>
      <w:pPr>
        <w:pStyle w:val="ListParagraph"/>
        <w:numPr>
          <w:ilvl w:val="0"/>
          <w:numId w:val="3"/>
        </w:numPr>
        <w:spacing w:after="40" w:before="40"/>
      </w:pPr>
      <w:r>
        <w:rPr>
          <w:rFonts w:ascii="Arial" w:cs="Arial" w:eastAsia="Arial" w:hAnsi="Arial"/>
          <w:b/>
          <w:bCs/>
          <w:sz w:val="22"/>
          <w:szCs w:val="22"/>
        </w:rPr>
        <w:t xml:space="preserve">Step 3 — Mark Prior HL:  </w:t>
      </w:r>
      <w:r>
        <w:rPr>
          <w:rFonts w:ascii="Arial" w:cs="Arial" w:eastAsia="Arial" w:hAnsi="Arial"/>
          <w:sz w:val="22"/>
          <w:szCs w:val="22"/>
        </w:rPr>
        <w:t xml:space="preserve">Mark prior session high and prior session low on the chart</w:t>
      </w:r>
    </w:p>
    <w:p>
      <w:pPr>
        <w:pStyle w:val="ListParagraph"/>
        <w:numPr>
          <w:ilvl w:val="0"/>
          <w:numId w:val="3"/>
        </w:numPr>
        <w:spacing w:after="40" w:before="40"/>
      </w:pPr>
      <w:r>
        <w:rPr>
          <w:rFonts w:ascii="Arial" w:cs="Arial" w:eastAsia="Arial" w:hAnsi="Arial"/>
          <w:b/>
          <w:bCs/>
          <w:sz w:val="22"/>
          <w:szCs w:val="22"/>
        </w:rPr>
        <w:t xml:space="preserve">Step 4 — Set Up VWAP:  </w:t>
      </w:r>
      <w:r>
        <w:rPr>
          <w:rFonts w:ascii="Arial" w:cs="Arial" w:eastAsia="Arial" w:hAnsi="Arial"/>
          <w:sz w:val="22"/>
          <w:szCs w:val="22"/>
        </w:rPr>
        <w:t xml:space="preserve">Compute or verify VWAP with ±1σ and ±2σ bands for the current session</w:t>
      </w:r>
    </w:p>
    <w:p>
      <w:pPr>
        <w:pStyle w:val="ListParagraph"/>
        <w:numPr>
          <w:ilvl w:val="0"/>
          <w:numId w:val="3"/>
        </w:numPr>
        <w:spacing w:after="40" w:before="40"/>
      </w:pPr>
      <w:r>
        <w:rPr>
          <w:rFonts w:ascii="Arial" w:cs="Arial" w:eastAsia="Arial" w:hAnsi="Arial"/>
          <w:b/>
          <w:bCs/>
          <w:sz w:val="22"/>
          <w:szCs w:val="22"/>
        </w:rPr>
        <w:t xml:space="preserve">Step 5 — Determine 1H Bias:  </w:t>
      </w:r>
      <w:r>
        <w:rPr>
          <w:rFonts w:ascii="Arial" w:cs="Arial" w:eastAsia="Arial" w:hAnsi="Arial"/>
          <w:sz w:val="22"/>
          <w:szCs w:val="22"/>
        </w:rPr>
        <w:t xml:space="preserve">Check 1H EMA(20) direction for dominant trend bias — this is the trade filter</w:t>
      </w:r>
    </w:p>
    <w:p>
      <w:pPr>
        <w:pStyle w:val="ListParagraph"/>
        <w:numPr>
          <w:ilvl w:val="0"/>
          <w:numId w:val="3"/>
        </w:numPr>
        <w:spacing w:after="40" w:before="40"/>
      </w:pPr>
      <w:r>
        <w:rPr>
          <w:rFonts w:ascii="Arial" w:cs="Arial" w:eastAsia="Arial" w:hAnsi="Arial"/>
          <w:b/>
          <w:bCs/>
          <w:sz w:val="22"/>
          <w:szCs w:val="22"/>
        </w:rPr>
        <w:t xml:space="preserve">Step 6 — Check Alignment:  </w:t>
      </w:r>
      <w:r>
        <w:rPr>
          <w:rFonts w:ascii="Arial" w:cs="Arial" w:eastAsia="Arial" w:hAnsi="Arial"/>
          <w:sz w:val="22"/>
          <w:szCs w:val="22"/>
        </w:rPr>
        <w:t xml:space="preserve">Check fractal alignment score — are 15m and 1H in agreement? If yes, note the direction</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7.3 Strategy A — HVN Reversal (Mean Reversion)</w:t>
      </w:r>
    </w:p>
    <w:p>
      <w:pPr>
        <w:pStyle w:val="Heading3"/>
        <w:spacing w:after="80" w:before="240"/>
      </w:pPr>
      <w:r>
        <w:rPr>
          <w:rFonts w:ascii="Arial" w:cs="Arial" w:eastAsia="Arial" w:hAnsi="Arial"/>
          <w:b/>
          <w:bCs/>
          <w:color w:val="00796B"/>
          <w:sz w:val="24"/>
          <w:szCs w:val="24"/>
        </w:rPr>
        <w:t xml:space="preserve">Setup Conditions</w:t>
      </w:r>
    </w:p>
    <w:p>
      <w:pPr>
        <w:pStyle w:val="ListParagraph"/>
        <w:numPr>
          <w:ilvl w:val="0"/>
          <w:numId w:val="2"/>
        </w:numPr>
        <w:spacing w:after="40" w:before="40"/>
      </w:pPr>
      <w:r>
        <w:rPr>
          <w:rFonts w:ascii="Arial" w:cs="Arial" w:eastAsia="Arial" w:hAnsi="Arial"/>
          <w:sz w:val="22"/>
          <w:szCs w:val="22"/>
        </w:rPr>
        <w:t xml:space="preserve">Price approaches a prior session HVN from the side opposing the delta sign</w:t>
      </w:r>
    </w:p>
    <w:p>
      <w:pPr>
        <w:pStyle w:val="ListParagraph"/>
        <w:numPr>
          <w:ilvl w:val="0"/>
          <w:numId w:val="2"/>
        </w:numPr>
        <w:spacing w:after="40" w:before="40"/>
      </w:pPr>
      <w:r>
        <w:rPr>
          <w:rFonts w:ascii="Arial" w:cs="Arial" w:eastAsia="Arial" w:hAnsi="Arial"/>
          <w:sz w:val="22"/>
          <w:szCs w:val="22"/>
        </w:rPr>
        <w:t xml:space="preserve">The HVN was formed with strong net delta (&gt;10% of session volume as directional delta)</w:t>
      </w:r>
    </w:p>
    <w:p>
      <w:pPr>
        <w:pStyle w:val="ListParagraph"/>
        <w:numPr>
          <w:ilvl w:val="0"/>
          <w:numId w:val="2"/>
        </w:numPr>
        <w:spacing w:after="40" w:before="40"/>
      </w:pPr>
      <w:r>
        <w:rPr>
          <w:rFonts w:ascii="Arial" w:cs="Arial" w:eastAsia="Arial" w:hAnsi="Arial"/>
          <w:sz w:val="22"/>
          <w:szCs w:val="22"/>
        </w:rPr>
        <w:t xml:space="preserve">The 1H trend is either neutral (alignment score 0 to ±2) or supports the reversal direction</w:t>
      </w:r>
    </w:p>
    <w:p>
      <w:pPr>
        <w:pStyle w:val="ListParagraph"/>
        <w:numPr>
          <w:ilvl w:val="0"/>
          <w:numId w:val="2"/>
        </w:numPr>
        <w:spacing w:after="40" w:before="40"/>
      </w:pPr>
      <w:r>
        <w:rPr>
          <w:rFonts w:ascii="Arial" w:cs="Arial" w:eastAsia="Arial" w:hAnsi="Arial"/>
          <w:sz w:val="22"/>
          <w:szCs w:val="22"/>
        </w:rPr>
        <w:t xml:space="preserve">Price is simultaneously near VWAP, VAH, or VAL (confluence)</w:t>
      </w:r>
    </w:p>
    <w:p>
      <w:pPr>
        <w:spacing w:after="80" w:before="80"/>
      </w:pPr>
      <w:r>
        <w:t xml:space="preserve"/>
      </w:r>
    </w:p>
    <w:p>
      <w:pPr>
        <w:pStyle w:val="Heading3"/>
        <w:spacing w:after="80" w:before="240"/>
      </w:pPr>
      <w:r>
        <w:rPr>
          <w:rFonts w:ascii="Arial" w:cs="Arial" w:eastAsia="Arial" w:hAnsi="Arial"/>
          <w:b/>
          <w:bCs/>
          <w:color w:val="00796B"/>
          <w:sz w:val="24"/>
          <w:szCs w:val="24"/>
        </w:rPr>
        <w:t xml:space="preserve">Entry Rules</w:t>
      </w:r>
    </w:p>
    <w:p>
      <w:pPr>
        <w:pStyle w:val="ListParagraph"/>
        <w:numPr>
          <w:ilvl w:val="0"/>
          <w:numId w:val="2"/>
        </w:numPr>
        <w:spacing w:after="40" w:before="40"/>
      </w:pPr>
      <w:r>
        <w:rPr>
          <w:rFonts w:ascii="Arial" w:cs="Arial" w:eastAsia="Arial" w:hAnsi="Arial"/>
          <w:sz w:val="22"/>
          <w:szCs w:val="22"/>
        </w:rPr>
        <w:t xml:space="preserve">Wait for price to touch the HVN level (within 0.5% proximity)</w:t>
      </w:r>
    </w:p>
    <w:p>
      <w:pPr>
        <w:pStyle w:val="ListParagraph"/>
        <w:numPr>
          <w:ilvl w:val="0"/>
          <w:numId w:val="2"/>
        </w:numPr>
        <w:spacing w:after="40" w:before="40"/>
      </w:pPr>
      <w:r>
        <w:rPr>
          <w:rFonts w:ascii="Arial" w:cs="Arial" w:eastAsia="Arial" w:hAnsi="Arial"/>
          <w:sz w:val="22"/>
          <w:szCs w:val="22"/>
        </w:rPr>
        <w:t xml:space="preserve">Observe 3–5 bars of 5m price action at the level — look for a rejection bar (long wick into level, close away)</w:t>
      </w:r>
    </w:p>
    <w:p>
      <w:pPr>
        <w:pStyle w:val="ListParagraph"/>
        <w:numPr>
          <w:ilvl w:val="0"/>
          <w:numId w:val="2"/>
        </w:numPr>
        <w:spacing w:after="40" w:before="40"/>
      </w:pPr>
      <w:r>
        <w:rPr>
          <w:rFonts w:ascii="Arial" w:cs="Arial" w:eastAsia="Arial" w:hAnsi="Arial"/>
          <w:sz w:val="22"/>
          <w:szCs w:val="22"/>
        </w:rPr>
        <w:t xml:space="preserve">Entry trigger: close of a 5m bar that reverses off the level with taker ratio consistent with the reversal direction</w:t>
      </w:r>
    </w:p>
    <w:p>
      <w:pPr>
        <w:pStyle w:val="ListParagraph"/>
        <w:numPr>
          <w:ilvl w:val="0"/>
          <w:numId w:val="2"/>
        </w:numPr>
        <w:spacing w:after="40" w:before="40"/>
      </w:pPr>
      <w:r>
        <w:rPr>
          <w:rFonts w:ascii="Arial" w:cs="Arial" w:eastAsia="Arial" w:hAnsi="Arial"/>
          <w:sz w:val="22"/>
          <w:szCs w:val="22"/>
        </w:rPr>
        <w:t xml:space="preserve">Volume at entry bar must be &gt; 1.3× the 20-bar mean (confirms participation, not thin air reversal)</w:t>
      </w:r>
    </w:p>
    <w:p>
      <w:pPr>
        <w:spacing w:after="80" w:before="80"/>
      </w:pPr>
      <w:r>
        <w:t xml:space="preserve"/>
      </w:r>
    </w:p>
    <w:p>
      <w:pPr>
        <w:pStyle w:val="Heading3"/>
        <w:spacing w:after="80" w:before="240"/>
      </w:pPr>
      <w:r>
        <w:rPr>
          <w:rFonts w:ascii="Arial" w:cs="Arial" w:eastAsia="Arial" w:hAnsi="Arial"/>
          <w:b/>
          <w:bCs/>
          <w:color w:val="00796B"/>
          <w:sz w:val="24"/>
          <w:szCs w:val="24"/>
        </w:rPr>
        <w:t xml:space="preserve">Exit Rules</w:t>
      </w:r>
    </w:p>
    <w:p>
      <w:pPr>
        <w:pStyle w:val="ListParagraph"/>
        <w:numPr>
          <w:ilvl w:val="0"/>
          <w:numId w:val="2"/>
        </w:numPr>
        <w:spacing w:after="40" w:before="40"/>
      </w:pPr>
      <w:r>
        <w:rPr>
          <w:rFonts w:ascii="Arial" w:cs="Arial" w:eastAsia="Arial" w:hAnsi="Arial"/>
          <w:sz w:val="22"/>
          <w:szCs w:val="22"/>
        </w:rPr>
        <w:t xml:space="preserve">Primary target: next HVN or LVN in the direction of the trade (typically 0.5–1.5× ATR away)</w:t>
      </w:r>
    </w:p>
    <w:p>
      <w:pPr>
        <w:pStyle w:val="ListParagraph"/>
        <w:numPr>
          <w:ilvl w:val="0"/>
          <w:numId w:val="2"/>
        </w:numPr>
        <w:spacing w:after="40" w:before="40"/>
      </w:pPr>
      <w:r>
        <w:rPr>
          <w:rFonts w:ascii="Arial" w:cs="Arial" w:eastAsia="Arial" w:hAnsi="Arial"/>
          <w:sz w:val="22"/>
          <w:szCs w:val="22"/>
        </w:rPr>
        <w:t xml:space="preserve">Secondary target: opposite VWAP band (if entering at +1σ, target is VWAP or -1σ)</w:t>
      </w:r>
    </w:p>
    <w:p>
      <w:pPr>
        <w:pStyle w:val="ListParagraph"/>
        <w:numPr>
          <w:ilvl w:val="0"/>
          <w:numId w:val="2"/>
        </w:numPr>
        <w:spacing w:after="40" w:before="40"/>
      </w:pPr>
      <w:r>
        <w:rPr>
          <w:rFonts w:ascii="Arial" w:cs="Arial" w:eastAsia="Arial" w:hAnsi="Arial"/>
          <w:sz w:val="22"/>
          <w:szCs w:val="22"/>
        </w:rPr>
        <w:t xml:space="preserve">Stop loss: beyond the HVN level by 0.3× ATR (below HVN for a long, above HVN for a short)</w:t>
      </w:r>
    </w:p>
    <w:p>
      <w:pPr>
        <w:pStyle w:val="ListParagraph"/>
        <w:numPr>
          <w:ilvl w:val="0"/>
          <w:numId w:val="2"/>
        </w:numPr>
        <w:spacing w:after="40" w:before="40"/>
      </w:pPr>
      <w:r>
        <w:rPr>
          <w:rFonts w:ascii="Arial" w:cs="Arial" w:eastAsia="Arial" w:hAnsi="Arial"/>
          <w:sz w:val="22"/>
          <w:szCs w:val="22"/>
        </w:rPr>
        <w:t xml:space="preserve">Time stop: exit if no movement after 30 bars (150 minutes on 5m)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96B" w:sz="1"/>
              <w:left w:val="single" w:color="00796B" w:sz="1"/>
              <w:bottom w:val="single" w:color="00796B" w:sz="1"/>
              <w:right w:val="single" w:color="00796B" w:sz="1"/>
            </w:tcBorders>
            <w:shd w:fill="00796B" w:val="clear"/>
            <w:tcMar>
              <w:top w:type="dxa" w:w="100"/>
              <w:left w:type="dxa" w:w="180"/>
              <w:bottom w:type="dxa" w:w="100"/>
              <w:right w:type="dxa" w:w="180"/>
            </w:tcMar>
          </w:tcPr>
          <w:p>
            <w:r>
              <w:rPr>
                <w:rFonts w:ascii="Arial" w:cs="Arial" w:eastAsia="Arial" w:hAnsi="Arial"/>
                <w:b/>
                <w:bCs/>
                <w:color w:val="FFFFFF"/>
                <w:sz w:val="22"/>
                <w:szCs w:val="22"/>
              </w:rPr>
              <w:t xml:space="preserve">Strategy A — Expected Performance Profile</w:t>
            </w:r>
          </w:p>
        </w:tc>
      </w:tr>
      <w:tr>
        <w:tc>
          <w:tcPr>
            <w:tcW w:type="dxa" w:w="9360"/>
            <w:tcBorders>
              <w:top w:val="single" w:color="00796B" w:sz="1"/>
              <w:left w:val="single" w:color="00796B" w:sz="1"/>
              <w:bottom w:val="single" w:color="00796B" w:sz="1"/>
              <w:right w:val="single" w:color="00796B" w:sz="1"/>
            </w:tcBorders>
            <w:shd w:fill="E0F2F1" w:val="clear"/>
            <w:tcMar>
              <w:top w:type="dxa" w:w="60"/>
              <w:left w:type="dxa" w:w="180"/>
              <w:bottom w:type="dxa" w:w="60"/>
              <w:right w:type="dxa" w:w="180"/>
            </w:tcMar>
          </w:tcPr>
          <w:p>
            <w:r>
              <w:rPr>
                <w:rFonts w:ascii="Arial" w:cs="Arial" w:eastAsia="Arial" w:hAnsi="Arial"/>
                <w:sz w:val="21"/>
                <w:szCs w:val="21"/>
              </w:rPr>
              <w:t xml:space="preserve">  Win rate target:   55–65% (HVN reversals with delta confirmation)</w:t>
            </w:r>
          </w:p>
        </w:tc>
      </w:tr>
      <w:tr>
        <w:tc>
          <w:tcPr>
            <w:tcW w:type="dxa" w:w="9360"/>
            <w:tcBorders>
              <w:top w:val="single" w:color="00796B" w:sz="1"/>
              <w:left w:val="single" w:color="00796B" w:sz="1"/>
              <w:bottom w:val="single" w:color="00796B" w:sz="1"/>
              <w:right w:val="single" w:color="00796B" w:sz="1"/>
            </w:tcBorders>
            <w:shd w:fill="E0F2F1" w:val="clear"/>
            <w:tcMar>
              <w:top w:type="dxa" w:w="60"/>
              <w:left w:type="dxa" w:w="180"/>
              <w:bottom w:type="dxa" w:w="60"/>
              <w:right w:type="dxa" w:w="180"/>
            </w:tcMar>
          </w:tcPr>
          <w:p>
            <w:r>
              <w:rPr>
                <w:rFonts w:ascii="Arial" w:cs="Arial" w:eastAsia="Arial" w:hAnsi="Arial"/>
                <w:sz w:val="21"/>
                <w:szCs w:val="21"/>
              </w:rPr>
              <w:t xml:space="preserve">  Risk:Reward:       1:1.5 minimum (target must be 1.5× the stop distance)</w:t>
            </w:r>
          </w:p>
        </w:tc>
      </w:tr>
      <w:tr>
        <w:tc>
          <w:tcPr>
            <w:tcW w:type="dxa" w:w="9360"/>
            <w:tcBorders>
              <w:top w:val="single" w:color="00796B" w:sz="1"/>
              <w:left w:val="single" w:color="00796B" w:sz="1"/>
              <w:bottom w:val="single" w:color="00796B" w:sz="1"/>
              <w:right w:val="single" w:color="00796B" w:sz="1"/>
            </w:tcBorders>
            <w:shd w:fill="E0F2F1" w:val="clear"/>
            <w:tcMar>
              <w:top w:type="dxa" w:w="60"/>
              <w:left w:type="dxa" w:w="180"/>
              <w:bottom w:type="dxa" w:w="60"/>
              <w:right w:type="dxa" w:w="180"/>
            </w:tcMar>
          </w:tcPr>
          <w:p>
            <w:r>
              <w:rPr>
                <w:rFonts w:ascii="Arial" w:cs="Arial" w:eastAsia="Arial" w:hAnsi="Arial"/>
                <w:sz w:val="21"/>
                <w:szCs w:val="21"/>
              </w:rPr>
              <w:t xml:space="preserve">  Best conditions:   VWAP confluence, alignment score 0 to ±2, prior 15m range environment</w:t>
            </w:r>
          </w:p>
        </w:tc>
      </w:tr>
      <w:tr>
        <w:tc>
          <w:tcPr>
            <w:tcW w:type="dxa" w:w="9360"/>
            <w:tcBorders>
              <w:top w:val="single" w:color="00796B" w:sz="1"/>
              <w:left w:val="single" w:color="00796B" w:sz="1"/>
              <w:bottom w:val="single" w:color="00796B" w:sz="1"/>
              <w:right w:val="single" w:color="00796B" w:sz="1"/>
            </w:tcBorders>
            <w:shd w:fill="E0F2F1" w:val="clear"/>
            <w:tcMar>
              <w:top w:type="dxa" w:w="60"/>
              <w:left w:type="dxa" w:w="180"/>
              <w:bottom w:type="dxa" w:w="60"/>
              <w:right w:type="dxa" w:w="180"/>
            </w:tcMar>
          </w:tcPr>
          <w:p>
            <w:r>
              <w:rPr>
                <w:rFonts w:ascii="Arial" w:cs="Arial" w:eastAsia="Arial" w:hAnsi="Arial"/>
                <w:sz w:val="21"/>
                <w:szCs w:val="21"/>
              </w:rPr>
              <w:t xml:space="preserve">  Avoid:             Full alignment environment (+4/-4) — HVNs will be broken through, not respected</w:t>
            </w:r>
          </w:p>
        </w:tc>
      </w:tr>
    </w:tbl>
    <w:p>
      <w:pPr>
        <w:spacing w:after="80" w:before="80"/>
      </w:pPr>
      <w:r>
        <w:t xml:space="preserve"/>
      </w:r>
    </w:p>
    <w:p>
      <w:pPr>
        <w:pStyle w:val="Heading2"/>
        <w:spacing w:after="120" w:before="320"/>
      </w:pPr>
      <w:r>
        <w:rPr>
          <w:rFonts w:ascii="Arial" w:cs="Arial" w:eastAsia="Arial" w:hAnsi="Arial"/>
          <w:b/>
          <w:bCs/>
          <w:color w:val="2E75B6"/>
          <w:sz w:val="28"/>
          <w:szCs w:val="28"/>
        </w:rPr>
        <w:t xml:space="preserve">7.4 Strategy B — LVN Momentum (Trend Following)</w:t>
      </w:r>
    </w:p>
    <w:p>
      <w:pPr>
        <w:pStyle w:val="Heading3"/>
        <w:spacing w:after="80" w:before="240"/>
      </w:pPr>
      <w:r>
        <w:rPr>
          <w:rFonts w:ascii="Arial" w:cs="Arial" w:eastAsia="Arial" w:hAnsi="Arial"/>
          <w:b/>
          <w:bCs/>
          <w:color w:val="2E75B6"/>
          <w:sz w:val="24"/>
          <w:szCs w:val="24"/>
        </w:rPr>
        <w:t xml:space="preserve">Setup Conditions</w:t>
      </w:r>
    </w:p>
    <w:p>
      <w:pPr>
        <w:pStyle w:val="ListParagraph"/>
        <w:numPr>
          <w:ilvl w:val="0"/>
          <w:numId w:val="2"/>
        </w:numPr>
        <w:spacing w:after="40" w:before="40"/>
      </w:pPr>
      <w:r>
        <w:rPr>
          <w:rFonts w:ascii="Arial" w:cs="Arial" w:eastAsia="Arial" w:hAnsi="Arial"/>
          <w:sz w:val="22"/>
          <w:szCs w:val="22"/>
        </w:rPr>
        <w:t xml:space="preserve">Fractal alignment score is +3 or +4 (bullish) or -3 or -4 (bearish)</w:t>
      </w:r>
    </w:p>
    <w:p>
      <w:pPr>
        <w:pStyle w:val="ListParagraph"/>
        <w:numPr>
          <w:ilvl w:val="0"/>
          <w:numId w:val="2"/>
        </w:numPr>
        <w:spacing w:after="40" w:before="40"/>
      </w:pPr>
      <w:r>
        <w:rPr>
          <w:rFonts w:ascii="Arial" w:cs="Arial" w:eastAsia="Arial" w:hAnsi="Arial"/>
          <w:sz w:val="22"/>
          <w:szCs w:val="22"/>
        </w:rPr>
        <w:t xml:space="preserve">Price has just broken through (or is approaching) a prior session LVN</w:t>
      </w:r>
    </w:p>
    <w:p>
      <w:pPr>
        <w:pStyle w:val="ListParagraph"/>
        <w:numPr>
          <w:ilvl w:val="0"/>
          <w:numId w:val="2"/>
        </w:numPr>
        <w:spacing w:after="40" w:before="40"/>
      </w:pPr>
      <w:r>
        <w:rPr>
          <w:rFonts w:ascii="Arial" w:cs="Arial" w:eastAsia="Arial" w:hAnsi="Arial"/>
          <w:sz w:val="22"/>
          <w:szCs w:val="22"/>
        </w:rPr>
        <w:t xml:space="preserve">The 1H trend direction confirms the alignment direction</w:t>
      </w:r>
    </w:p>
    <w:p>
      <w:pPr>
        <w:pStyle w:val="ListParagraph"/>
        <w:numPr>
          <w:ilvl w:val="0"/>
          <w:numId w:val="2"/>
        </w:numPr>
        <w:spacing w:after="40" w:before="40"/>
      </w:pPr>
      <w:r>
        <w:rPr>
          <w:rFonts w:ascii="Arial" w:cs="Arial" w:eastAsia="Arial" w:hAnsi="Arial"/>
          <w:sz w:val="22"/>
          <w:szCs w:val="22"/>
        </w:rPr>
        <w:t xml:space="preserve">Price is above (for longs) or below (for shorts) the daily VWAP</w:t>
      </w:r>
    </w:p>
    <w:p>
      <w:pPr>
        <w:spacing w:after="80" w:before="80"/>
      </w:pPr>
      <w:r>
        <w:t xml:space="preserve"/>
      </w:r>
    </w:p>
    <w:p>
      <w:pPr>
        <w:pStyle w:val="Heading3"/>
        <w:spacing w:after="80" w:before="240"/>
      </w:pPr>
      <w:r>
        <w:rPr>
          <w:rFonts w:ascii="Arial" w:cs="Arial" w:eastAsia="Arial" w:hAnsi="Arial"/>
          <w:b/>
          <w:bCs/>
          <w:color w:val="2E75B6"/>
          <w:sz w:val="24"/>
          <w:szCs w:val="24"/>
        </w:rPr>
        <w:t xml:space="preserve">Entry Rules</w:t>
      </w:r>
    </w:p>
    <w:p>
      <w:pPr>
        <w:pStyle w:val="ListParagraph"/>
        <w:numPr>
          <w:ilvl w:val="0"/>
          <w:numId w:val="2"/>
        </w:numPr>
        <w:spacing w:after="40" w:before="40"/>
      </w:pPr>
      <w:r>
        <w:rPr>
          <w:rFonts w:ascii="Arial" w:cs="Arial" w:eastAsia="Arial" w:hAnsi="Arial"/>
          <w:sz w:val="22"/>
          <w:szCs w:val="22"/>
        </w:rPr>
        <w:t xml:space="preserve">Entry on the first 5m bar to close through the LVN level with volume &gt; 1.5× the 20-bar mean</w:t>
      </w:r>
    </w:p>
    <w:p>
      <w:pPr>
        <w:pStyle w:val="ListParagraph"/>
        <w:numPr>
          <w:ilvl w:val="0"/>
          <w:numId w:val="2"/>
        </w:numPr>
        <w:spacing w:after="40" w:before="40"/>
      </w:pPr>
      <w:r>
        <w:rPr>
          <w:rFonts w:ascii="Arial" w:cs="Arial" w:eastAsia="Arial" w:hAnsi="Arial"/>
          <w:sz w:val="22"/>
          <w:szCs w:val="22"/>
        </w:rPr>
        <w:t xml:space="preserve">Taker ratio at entry bar must be &gt; 0.6 for longs, &lt; 0.4 for shorts (confirms directional aggression)</w:t>
      </w:r>
    </w:p>
    <w:p>
      <w:pPr>
        <w:pStyle w:val="ListParagraph"/>
        <w:numPr>
          <w:ilvl w:val="0"/>
          <w:numId w:val="2"/>
        </w:numPr>
        <w:spacing w:after="40" w:before="40"/>
      </w:pPr>
      <w:r>
        <w:rPr>
          <w:rFonts w:ascii="Arial" w:cs="Arial" w:eastAsia="Arial" w:hAnsi="Arial"/>
          <w:sz w:val="22"/>
          <w:szCs w:val="22"/>
        </w:rPr>
        <w:t xml:space="preserve">Do not chase — if the LVN break bar is &gt; 2× ATR in size, wait for the first pullback to the LVN (now support/resistance)</w:t>
      </w:r>
    </w:p>
    <w:p>
      <w:pPr>
        <w:spacing w:after="80" w:before="80"/>
      </w:pPr>
      <w:r>
        <w:t xml:space="preserve"/>
      </w:r>
    </w:p>
    <w:p>
      <w:pPr>
        <w:pStyle w:val="Heading3"/>
        <w:spacing w:after="80" w:before="240"/>
      </w:pPr>
      <w:r>
        <w:rPr>
          <w:rFonts w:ascii="Arial" w:cs="Arial" w:eastAsia="Arial" w:hAnsi="Arial"/>
          <w:b/>
          <w:bCs/>
          <w:color w:val="2E75B6"/>
          <w:sz w:val="24"/>
          <w:szCs w:val="24"/>
        </w:rPr>
        <w:t xml:space="preserve">Exit Rules</w:t>
      </w:r>
    </w:p>
    <w:p>
      <w:pPr>
        <w:pStyle w:val="ListParagraph"/>
        <w:numPr>
          <w:ilvl w:val="0"/>
          <w:numId w:val="2"/>
        </w:numPr>
        <w:spacing w:after="40" w:before="40"/>
      </w:pPr>
      <w:r>
        <w:rPr>
          <w:rFonts w:ascii="Arial" w:cs="Arial" w:eastAsia="Arial" w:hAnsi="Arial"/>
          <w:sz w:val="22"/>
          <w:szCs w:val="22"/>
        </w:rPr>
        <w:t xml:space="preserve">Primary target: next HVN in the direction of the move — this is where price will slow</w:t>
      </w:r>
    </w:p>
    <w:p>
      <w:pPr>
        <w:pStyle w:val="ListParagraph"/>
        <w:numPr>
          <w:ilvl w:val="0"/>
          <w:numId w:val="2"/>
        </w:numPr>
        <w:spacing w:after="40" w:before="40"/>
      </w:pPr>
      <w:r>
        <w:rPr>
          <w:rFonts w:ascii="Arial" w:cs="Arial" w:eastAsia="Arial" w:hAnsi="Arial"/>
          <w:sz w:val="22"/>
          <w:szCs w:val="22"/>
        </w:rPr>
        <w:t xml:space="preserve">Secondary target: VWAP +2σ (for longs) or -2σ (for shorts) if momentum is strong</w:t>
      </w:r>
    </w:p>
    <w:p>
      <w:pPr>
        <w:pStyle w:val="ListParagraph"/>
        <w:numPr>
          <w:ilvl w:val="0"/>
          <w:numId w:val="2"/>
        </w:numPr>
        <w:spacing w:after="40" w:before="40"/>
      </w:pPr>
      <w:r>
        <w:rPr>
          <w:rFonts w:ascii="Arial" w:cs="Arial" w:eastAsia="Arial" w:hAnsi="Arial"/>
          <w:sz w:val="22"/>
          <w:szCs w:val="22"/>
        </w:rPr>
        <w:t xml:space="preserve">Trailing stop: move stop to breakeven after price clears 1× ATR, then trail by 0.5× ATR</w:t>
      </w:r>
    </w:p>
    <w:p>
      <w:pPr>
        <w:pStyle w:val="ListParagraph"/>
        <w:numPr>
          <w:ilvl w:val="0"/>
          <w:numId w:val="2"/>
        </w:numPr>
        <w:spacing w:after="40" w:before="40"/>
      </w:pPr>
      <w:r>
        <w:rPr>
          <w:rFonts w:ascii="Arial" w:cs="Arial" w:eastAsia="Arial" w:hAnsi="Arial"/>
          <w:sz w:val="22"/>
          <w:szCs w:val="22"/>
        </w:rPr>
        <w:t xml:space="preserve">Alignment stop: exit immediately if the alignment score drops below ±2 — the trend consensus is breaking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Strategy B — Expected Performance Profile</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180"/>
              <w:bottom w:type="dxa" w:w="60"/>
              <w:right w:type="dxa" w:w="180"/>
            </w:tcMar>
          </w:tcPr>
          <w:p>
            <w:r>
              <w:rPr>
                <w:rFonts w:ascii="Arial" w:cs="Arial" w:eastAsia="Arial" w:hAnsi="Arial"/>
                <w:sz w:val="21"/>
                <w:szCs w:val="21"/>
              </w:rPr>
              <w:t xml:space="preserve">  Win rate target:   45–55% (lower win rate, higher R:R)</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180"/>
              <w:bottom w:type="dxa" w:w="60"/>
              <w:right w:type="dxa" w:w="180"/>
            </w:tcMar>
          </w:tcPr>
          <w:p>
            <w:r>
              <w:rPr>
                <w:rFonts w:ascii="Arial" w:cs="Arial" w:eastAsia="Arial" w:hAnsi="Arial"/>
                <w:sz w:val="21"/>
                <w:szCs w:val="21"/>
              </w:rPr>
              <w:t xml:space="preserve">  Risk:Reward:       1:2.5 minimum (momentum trades need larger targets to offset lower win rate)</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180"/>
              <w:bottom w:type="dxa" w:w="60"/>
              <w:right w:type="dxa" w:w="180"/>
            </w:tcMar>
          </w:tcPr>
          <w:p>
            <w:r>
              <w:rPr>
                <w:rFonts w:ascii="Arial" w:cs="Arial" w:eastAsia="Arial" w:hAnsi="Arial"/>
                <w:sz w:val="21"/>
                <w:szCs w:val="21"/>
              </w:rPr>
              <w:t xml:space="preserve">  Best conditions:   Full alignment (+4/-4), price in LVN, high taker conviction, London or NY session</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180"/>
              <w:bottom w:type="dxa" w:w="60"/>
              <w:right w:type="dxa" w:w="180"/>
            </w:tcMar>
          </w:tcPr>
          <w:p>
            <w:r>
              <w:rPr>
                <w:rFonts w:ascii="Arial" w:cs="Arial" w:eastAsia="Arial" w:hAnsi="Arial"/>
                <w:sz w:val="21"/>
                <w:szCs w:val="21"/>
              </w:rPr>
              <w:t xml:space="preserve">  Avoid:             Late in a trending move (&gt;5 consecutive aligned bars); wait for retest</w:t>
            </w:r>
          </w:p>
        </w:tc>
      </w:tr>
    </w:tbl>
    <w:p>
      <w:pPr>
        <w:spacing w:after="80" w:before="80"/>
      </w:pPr>
      <w:r>
        <w:t xml:space="preserve"/>
      </w:r>
    </w:p>
    <w:p>
      <w:pPr>
        <w:pStyle w:val="Heading2"/>
        <w:spacing w:after="120" w:before="320"/>
      </w:pPr>
      <w:r>
        <w:rPr>
          <w:rFonts w:ascii="Arial" w:cs="Arial" w:eastAsia="Arial" w:hAnsi="Arial"/>
          <w:b/>
          <w:bCs/>
          <w:color w:val="2E75B6"/>
          <w:sz w:val="28"/>
          <w:szCs w:val="28"/>
        </w:rPr>
        <w:t xml:space="preserve">7.5 Strategy C — Fractal Alignment Transition Trade</w:t>
      </w:r>
    </w:p>
    <w:p>
      <w:pPr>
        <w:pStyle w:val="Heading3"/>
        <w:spacing w:after="80" w:before="240"/>
      </w:pPr>
      <w:r>
        <w:rPr>
          <w:rFonts w:ascii="Arial" w:cs="Arial" w:eastAsia="Arial" w:hAnsi="Arial"/>
          <w:b/>
          <w:bCs/>
          <w:color w:val="37474F"/>
          <w:sz w:val="24"/>
          <w:szCs w:val="24"/>
        </w:rPr>
        <w:t xml:space="preserve">Setup Conditions</w:t>
      </w:r>
    </w:p>
    <w:p>
      <w:pPr>
        <w:pStyle w:val="ListParagraph"/>
        <w:numPr>
          <w:ilvl w:val="0"/>
          <w:numId w:val="2"/>
        </w:numPr>
        <w:spacing w:after="40" w:before="40"/>
      </w:pPr>
      <w:r>
        <w:rPr>
          <w:rFonts w:ascii="Arial" w:cs="Arial" w:eastAsia="Arial" w:hAnsi="Arial"/>
          <w:sz w:val="22"/>
          <w:szCs w:val="22"/>
        </w:rPr>
        <w:t xml:space="preserve">The alignment score transitions from partial (±2 or ±3) to full (±4) within the current bar</w:t>
      </w:r>
    </w:p>
    <w:p>
      <w:pPr>
        <w:pStyle w:val="ListParagraph"/>
        <w:numPr>
          <w:ilvl w:val="0"/>
          <w:numId w:val="2"/>
        </w:numPr>
        <w:spacing w:after="40" w:before="40"/>
      </w:pPr>
      <w:r>
        <w:rPr>
          <w:rFonts w:ascii="Arial" w:cs="Arial" w:eastAsia="Arial" w:hAnsi="Arial"/>
          <w:sz w:val="22"/>
          <w:szCs w:val="22"/>
        </w:rPr>
        <w:t xml:space="preserve">The transition occurs during a high-liquidity session window (London or NY open)</w:t>
      </w:r>
    </w:p>
    <w:p>
      <w:pPr>
        <w:pStyle w:val="ListParagraph"/>
        <w:numPr>
          <w:ilvl w:val="0"/>
          <w:numId w:val="2"/>
        </w:numPr>
        <w:spacing w:after="40" w:before="40"/>
      </w:pPr>
      <w:r>
        <w:rPr>
          <w:rFonts w:ascii="Arial" w:cs="Arial" w:eastAsia="Arial" w:hAnsi="Arial"/>
          <w:sz w:val="22"/>
          <w:szCs w:val="22"/>
        </w:rPr>
        <w:t xml:space="preserve">A volume profile level (HVN or POC) is NOT immediately overhead/below (acting as an imminent barrier)</w:t>
      </w:r>
    </w:p>
    <w:p>
      <w:pPr>
        <w:pStyle w:val="ListParagraph"/>
        <w:numPr>
          <w:ilvl w:val="0"/>
          <w:numId w:val="2"/>
        </w:numPr>
        <w:spacing w:after="40" w:before="40"/>
      </w:pPr>
      <w:r>
        <w:rPr>
          <w:rFonts w:ascii="Arial" w:cs="Arial" w:eastAsia="Arial" w:hAnsi="Arial"/>
          <w:sz w:val="22"/>
          <w:szCs w:val="22"/>
        </w:rPr>
        <w:t xml:space="preserve">VWAP is not acting as immediate resistance — price should be on the correct side of VWAP for the trade direction</w:t>
      </w:r>
    </w:p>
    <w:p>
      <w:pPr>
        <w:spacing w:after="80" w:before="80"/>
      </w:pPr>
      <w:r>
        <w:t xml:space="preserve"/>
      </w:r>
    </w:p>
    <w:p>
      <w:pPr>
        <w:pStyle w:val="Heading3"/>
        <w:spacing w:after="80" w:before="240"/>
      </w:pPr>
      <w:r>
        <w:rPr>
          <w:rFonts w:ascii="Arial" w:cs="Arial" w:eastAsia="Arial" w:hAnsi="Arial"/>
          <w:b/>
          <w:bCs/>
          <w:color w:val="37474F"/>
          <w:sz w:val="24"/>
          <w:szCs w:val="24"/>
        </w:rPr>
        <w:t xml:space="preserve">Entry &amp; Exit Rules</w:t>
      </w:r>
    </w:p>
    <w:p>
      <w:pPr>
        <w:pStyle w:val="ListParagraph"/>
        <w:numPr>
          <w:ilvl w:val="0"/>
          <w:numId w:val="2"/>
        </w:numPr>
        <w:spacing w:after="40" w:before="40"/>
      </w:pPr>
      <w:r>
        <w:rPr>
          <w:rFonts w:ascii="Arial" w:cs="Arial" w:eastAsia="Arial" w:hAnsi="Arial"/>
          <w:sz w:val="22"/>
          <w:szCs w:val="22"/>
        </w:rPr>
        <w:t xml:space="preserve">Enter at market on the 1m bar that confirms the final timeframe alignment</w:t>
      </w:r>
    </w:p>
    <w:p>
      <w:pPr>
        <w:pStyle w:val="ListParagraph"/>
        <w:numPr>
          <w:ilvl w:val="0"/>
          <w:numId w:val="2"/>
        </w:numPr>
        <w:spacing w:after="40" w:before="40"/>
      </w:pPr>
      <w:r>
        <w:rPr>
          <w:rFonts w:ascii="Arial" w:cs="Arial" w:eastAsia="Arial" w:hAnsi="Arial"/>
          <w:sz w:val="22"/>
          <w:szCs w:val="22"/>
        </w:rPr>
        <w:t xml:space="preserve">Initial stop: below the 5m EMA(20) for longs, above the 5m EMA(20) for shorts</w:t>
      </w:r>
    </w:p>
    <w:p>
      <w:pPr>
        <w:pStyle w:val="ListParagraph"/>
        <w:numPr>
          <w:ilvl w:val="0"/>
          <w:numId w:val="2"/>
        </w:numPr>
        <w:spacing w:after="40" w:before="40"/>
      </w:pPr>
      <w:r>
        <w:rPr>
          <w:rFonts w:ascii="Arial" w:cs="Arial" w:eastAsia="Arial" w:hAnsi="Arial"/>
          <w:sz w:val="22"/>
          <w:szCs w:val="22"/>
        </w:rPr>
        <w:t xml:space="preserve">Target: 2× the distance from entry to stop (minimum 1:2 R:R)</w:t>
      </w:r>
    </w:p>
    <w:p>
      <w:pPr>
        <w:pStyle w:val="ListParagraph"/>
        <w:numPr>
          <w:ilvl w:val="0"/>
          <w:numId w:val="2"/>
        </w:numPr>
        <w:spacing w:after="40" w:before="40"/>
      </w:pPr>
      <w:r>
        <w:rPr>
          <w:rFonts w:ascii="Arial" w:cs="Arial" w:eastAsia="Arial" w:hAnsi="Arial"/>
          <w:sz w:val="22"/>
          <w:szCs w:val="22"/>
        </w:rPr>
        <w:t xml:space="preserve">Scale out: take 50% at 1× ATR, let the remainder run with a trailing stop</w:t>
      </w:r>
    </w:p>
    <w:p>
      <w:pPr>
        <w:pStyle w:val="ListParagraph"/>
        <w:numPr>
          <w:ilvl w:val="0"/>
          <w:numId w:val="2"/>
        </w:numPr>
        <w:spacing w:after="40" w:before="40"/>
      </w:pPr>
      <w:r>
        <w:rPr>
          <w:rFonts w:ascii="Arial" w:cs="Arial" w:eastAsia="Arial" w:hAnsi="Arial"/>
          <w:sz w:val="22"/>
          <w:szCs w:val="22"/>
        </w:rPr>
        <w:t xml:space="preserve">Maximum hold time: 4 hours — if the alignment reverses, exit regardless of P&amp;L</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7.6 Filters and Risk Management Rules</w:t>
      </w:r>
    </w:p>
    <w:p>
      <w:pPr>
        <w:pStyle w:val="Heading3"/>
        <w:spacing w:after="80" w:before="240"/>
      </w:pPr>
      <w:r>
        <w:rPr>
          <w:rFonts w:ascii="Arial" w:cs="Arial" w:eastAsia="Arial" w:hAnsi="Arial"/>
          <w:b/>
          <w:bCs/>
          <w:color w:val="C62828"/>
          <w:sz w:val="24"/>
          <w:szCs w:val="24"/>
        </w:rPr>
        <w:t xml:space="preserve">Trade Filters (All Strategies)</w:t>
      </w:r>
    </w:p>
    <w:p>
      <w:pPr>
        <w:pStyle w:val="ListParagraph"/>
        <w:numPr>
          <w:ilvl w:val="0"/>
          <w:numId w:val="2"/>
        </w:numPr>
        <w:spacing w:after="40" w:before="40"/>
      </w:pPr>
      <w:r>
        <w:rPr>
          <w:rFonts w:ascii="Arial" w:cs="Arial" w:eastAsia="Arial" w:hAnsi="Arial"/>
          <w:sz w:val="22"/>
          <w:szCs w:val="22"/>
        </w:rPr>
        <w:t xml:space="preserve">Never trade within 15 minutes of a major macro event (FOMC, CPI, NFP) — volume and spread profiles are distorted</w:t>
      </w:r>
    </w:p>
    <w:p>
      <w:pPr>
        <w:pStyle w:val="ListParagraph"/>
        <w:numPr>
          <w:ilvl w:val="0"/>
          <w:numId w:val="2"/>
        </w:numPr>
        <w:spacing w:after="40" w:before="40"/>
      </w:pPr>
      <w:r>
        <w:rPr>
          <w:rFonts w:ascii="Arial" w:cs="Arial" w:eastAsia="Arial" w:hAnsi="Arial"/>
          <w:sz w:val="22"/>
          <w:szCs w:val="22"/>
        </w:rPr>
        <w:t xml:space="preserve">Do not trade if the 20-bar volume is below 50% of the 5-day average — thin liquidity produces false signals</w:t>
      </w:r>
    </w:p>
    <w:p>
      <w:pPr>
        <w:pStyle w:val="ListParagraph"/>
        <w:numPr>
          <w:ilvl w:val="0"/>
          <w:numId w:val="2"/>
        </w:numPr>
        <w:spacing w:after="40" w:before="40"/>
      </w:pPr>
      <w:r>
        <w:rPr>
          <w:rFonts w:ascii="Arial" w:cs="Arial" w:eastAsia="Arial" w:hAnsi="Arial"/>
          <w:sz w:val="22"/>
          <w:szCs w:val="22"/>
        </w:rPr>
        <w:t xml:space="preserve">Skip any setup where stop loss would require more than 1.5% move against position — too wide for the intended setup</w:t>
      </w:r>
    </w:p>
    <w:p>
      <w:pPr>
        <w:pStyle w:val="ListParagraph"/>
        <w:numPr>
          <w:ilvl w:val="0"/>
          <w:numId w:val="2"/>
        </w:numPr>
        <w:spacing w:after="40" w:before="40"/>
      </w:pPr>
      <w:r>
        <w:rPr>
          <w:rFonts w:ascii="Arial" w:cs="Arial" w:eastAsia="Arial" w:hAnsi="Arial"/>
          <w:sz w:val="22"/>
          <w:szCs w:val="22"/>
        </w:rPr>
        <w:t xml:space="preserve">If the prior day's range was less than 0.5× its 20-day ATR, assume a compression regime and reduce position size by 50%</w:t>
      </w:r>
    </w:p>
    <w:p>
      <w:pPr>
        <w:spacing w:after="80" w:before="80"/>
      </w:pPr>
      <w:r>
        <w:t xml:space="preserve"/>
      </w:r>
    </w:p>
    <w:p>
      <w:pPr>
        <w:pStyle w:val="Heading3"/>
        <w:spacing w:after="80" w:before="240"/>
      </w:pPr>
      <w:r>
        <w:rPr>
          <w:rFonts w:ascii="Arial" w:cs="Arial" w:eastAsia="Arial" w:hAnsi="Arial"/>
          <w:b/>
          <w:bCs/>
          <w:color w:val="C62828"/>
          <w:sz w:val="24"/>
          <w:szCs w:val="24"/>
        </w:rPr>
        <w:t xml:space="preserve">Position Sizing</w:t>
      </w:r>
    </w:p>
    <w:p>
      <w:pPr>
        <w:spacing w:after="80" w:before="80"/>
        <w:jc w:val="left"/>
      </w:pPr>
      <w:r>
        <w:rPr>
          <w:rFonts w:ascii="Arial" w:cs="Arial" w:eastAsia="Arial" w:hAnsi="Arial"/>
          <w:sz w:val="22"/>
          <w:szCs w:val="22"/>
        </w:rPr>
        <w:t xml:space="preserve">Risk per trade is fixed at 0.75% of account equity as the baseline. Position size is calculated 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Position Size = (Account Equity × 0.0075) / Stop Distance in USD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Account: $10,000 | Stop: $200 | Size = $75/$200 = 0.375 BTC</w:t>
            </w:r>
          </w:p>
        </w:tc>
      </w:tr>
    </w:tbl>
    <w:p>
      <w:pPr>
        <w:spacing w:after="80" w:before="80"/>
      </w:pPr>
      <w:r>
        <w:t xml:space="preserve"/>
      </w:r>
    </w:p>
    <w:p>
      <w:pPr>
        <w:pStyle w:val="Heading3"/>
        <w:spacing w:after="80" w:before="240"/>
      </w:pPr>
      <w:r>
        <w:rPr>
          <w:rFonts w:ascii="Arial" w:cs="Arial" w:eastAsia="Arial" w:hAnsi="Arial"/>
          <w:b/>
          <w:bCs/>
          <w:color w:val="C62828"/>
          <w:sz w:val="24"/>
          <w:szCs w:val="24"/>
        </w:rPr>
        <w:t xml:space="preserve">Daily and Weekly Loss Limits</w:t>
      </w:r>
    </w:p>
    <w:p>
      <w:pPr>
        <w:pStyle w:val="ListParagraph"/>
        <w:numPr>
          <w:ilvl w:val="0"/>
          <w:numId w:val="2"/>
        </w:numPr>
        <w:spacing w:after="40" w:before="40"/>
      </w:pPr>
      <w:r>
        <w:rPr>
          <w:rFonts w:ascii="Arial" w:cs="Arial" w:eastAsia="Arial" w:hAnsi="Arial"/>
          <w:sz w:val="22"/>
          <w:szCs w:val="22"/>
        </w:rPr>
        <w:t xml:space="preserve">Daily loss limit: 2% of account. Stop trading for the day if hit</w:t>
      </w:r>
    </w:p>
    <w:p>
      <w:pPr>
        <w:pStyle w:val="ListParagraph"/>
        <w:numPr>
          <w:ilvl w:val="0"/>
          <w:numId w:val="2"/>
        </w:numPr>
        <w:spacing w:after="40" w:before="40"/>
      </w:pPr>
      <w:r>
        <w:rPr>
          <w:rFonts w:ascii="Arial" w:cs="Arial" w:eastAsia="Arial" w:hAnsi="Arial"/>
          <w:sz w:val="22"/>
          <w:szCs w:val="22"/>
        </w:rPr>
        <w:t xml:space="preserve">Weekly loss limit: 4% of account. Reduce position sizing by 50% for the remainder of the week</w:t>
      </w:r>
    </w:p>
    <w:p>
      <w:pPr>
        <w:pStyle w:val="ListParagraph"/>
        <w:numPr>
          <w:ilvl w:val="0"/>
          <w:numId w:val="2"/>
        </w:numPr>
        <w:spacing w:after="40" w:before="40"/>
      </w:pPr>
      <w:r>
        <w:rPr>
          <w:rFonts w:ascii="Arial" w:cs="Arial" w:eastAsia="Arial" w:hAnsi="Arial"/>
          <w:sz w:val="22"/>
          <w:szCs w:val="22"/>
        </w:rPr>
        <w:t xml:space="preserve">Consecutive loss limit: After 3 losing trades in a row, take a mandatory 24-hour break</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7.7 Trading Journal Requirements</w:t>
      </w:r>
    </w:p>
    <w:p>
      <w:pPr>
        <w:spacing w:after="80" w:before="80"/>
        <w:jc w:val="left"/>
      </w:pPr>
      <w:r>
        <w:rPr>
          <w:rFonts w:ascii="Arial" w:cs="Arial" w:eastAsia="Arial" w:hAnsi="Arial"/>
          <w:sz w:val="22"/>
          <w:szCs w:val="22"/>
        </w:rPr>
        <w:t xml:space="preserve">Each trade must be logged with the following fields to enable ongoing calibration of the notebook parameters: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to Record</w:t>
            </w:r>
          </w:p>
        </w:tc>
        <w:tc>
          <w:tcPr>
            <w:tcW w:type="dxa" w:w="3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Strategy Type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 / B / 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Track which strategy is performing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Level Type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HVN / LVN / POC / VWAP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Calibrate level-type edge over time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Alignment Score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 to +4 at entry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Validate alignment threshold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Volume at Entry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Vol / 20-bar mean (vol_rel)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Validate volume threshold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Taker Ratio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0.0 to 1.0 at entry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Validate taker conviction filter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Delta Z-Score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Z-score at entry bar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Validate delta exhaustion patterns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Outcome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Win / Loss / Break-even, P&amp;L %</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Primary performance tracking</w:t>
            </w:r>
          </w:p>
        </w:tc>
      </w:tr>
    </w:tbl>
    <w:p>
      <w:pPr>
        <w:spacing w:after="80" w:before="80"/>
      </w:pPr>
      <w:r>
        <w:t xml:space="preserve"/>
      </w:r>
    </w:p>
    <w:p>
      <w:pPr>
        <w:pStyle w:val="Heading2"/>
        <w:spacing w:after="120" w:before="320"/>
      </w:pPr>
      <w:r>
        <w:rPr>
          <w:rFonts w:ascii="Arial" w:cs="Arial" w:eastAsia="Arial" w:hAnsi="Arial"/>
          <w:b/>
          <w:bCs/>
          <w:color w:val="2E75B6"/>
          <w:sz w:val="28"/>
          <w:szCs w:val="28"/>
        </w:rPr>
        <w:t xml:space="preserve">7.8 Re-Calibration Schedule</w:t>
      </w:r>
    </w:p>
    <w:p>
      <w:pPr>
        <w:spacing w:after="80" w:before="80"/>
        <w:jc w:val="left"/>
      </w:pPr>
      <w:r>
        <w:rPr>
          <w:rFonts w:ascii="Arial" w:cs="Arial" w:eastAsia="Arial" w:hAnsi="Arial"/>
          <w:sz w:val="22"/>
          <w:szCs w:val="22"/>
        </w:rPr>
        <w:t xml:space="preserve">The trading plan parameters should be re-calibrated at the following intervals by re-running the full observation notebook on updated data:</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Monthly: Re-run the Phase 3 breakout/reversal analysis to check if volume thresholds have drifted with market liquidity changes</w:t>
      </w:r>
    </w:p>
    <w:p>
      <w:pPr>
        <w:pStyle w:val="ListParagraph"/>
        <w:numPr>
          <w:ilvl w:val="0"/>
          <w:numId w:val="2"/>
        </w:numPr>
        <w:spacing w:after="40" w:before="40"/>
      </w:pPr>
      <w:r>
        <w:rPr>
          <w:rFonts w:ascii="Arial" w:cs="Arial" w:eastAsia="Arial" w:hAnsi="Arial"/>
          <w:sz w:val="22"/>
          <w:szCs w:val="22"/>
        </w:rPr>
        <w:t xml:space="preserve">Quarterly: Re-run all four phases on the most recent 90-day window and compare calibration numbers to the baseline</w:t>
      </w:r>
    </w:p>
    <w:p>
      <w:pPr>
        <w:pStyle w:val="ListParagraph"/>
        <w:numPr>
          <w:ilvl w:val="0"/>
          <w:numId w:val="2"/>
        </w:numPr>
        <w:spacing w:after="40" w:before="40"/>
      </w:pPr>
      <w:r>
        <w:rPr>
          <w:rFonts w:ascii="Arial" w:cs="Arial" w:eastAsia="Arial" w:hAnsi="Arial"/>
          <w:sz w:val="22"/>
          <w:szCs w:val="22"/>
        </w:rPr>
        <w:t xml:space="preserve">Regime Change: Immediately re-run when a major structural market shift occurs (&gt;30% drawdown from ATH, sustained volatility regime change, major regulatory event)</w:t>
      </w:r>
    </w:p>
    <w:p>
      <w:pPr>
        <w:pStyle w:val="ListParagraph"/>
        <w:numPr>
          <w:ilvl w:val="0"/>
          <w:numId w:val="2"/>
        </w:numPr>
        <w:spacing w:after="40" w:before="40"/>
      </w:pPr>
      <w:r>
        <w:rPr>
          <w:rFonts w:ascii="Arial" w:cs="Arial" w:eastAsia="Arial" w:hAnsi="Arial"/>
          <w:sz w:val="22"/>
          <w:szCs w:val="22"/>
        </w:rPr>
        <w:t xml:space="preserve">After 50 live trades: Conduct a statistical review of journal data against notebook predictions — if win rates are more than 10pp below the research baseline, investigate whether market conditions have changed</w:t>
      </w:r>
    </w:p>
    <w:p>
      <w:r>
        <w:br w:type="page"/>
      </w:r>
    </w:p>
    <w:p>
      <w:pPr>
        <w:pStyle w:val="Heading1"/>
        <w:pBdr>
          <w:bottom w:val="single" w:color="2E75B6" w:sz="8" w:space="4"/>
        </w:pBdr>
        <w:spacing w:after="160" w:before="400"/>
      </w:pPr>
      <w:r>
        <w:rPr>
          <w:rFonts w:ascii="Arial" w:cs="Arial" w:eastAsia="Arial" w:hAnsi="Arial"/>
          <w:b/>
          <w:bCs/>
          <w:color w:val="1A3A5C"/>
          <w:sz w:val="36"/>
          <w:szCs w:val="36"/>
        </w:rPr>
        <w:t xml:space="preserve">Section 8: Conclusion</w:t>
      </w:r>
    </w:p>
    <w:p>
      <w:pPr>
        <w:spacing w:after="80" w:before="80"/>
        <w:jc w:val="left"/>
      </w:pPr>
      <w:r>
        <w:rPr>
          <w:rFonts w:ascii="Arial" w:cs="Arial" w:eastAsia="Arial" w:hAnsi="Arial"/>
          <w:sz w:val="22"/>
          <w:szCs w:val="22"/>
        </w:rPr>
        <w:t xml:space="preserve">This market observation notebook represents a rigorous, empirically grounded foundation for building a systematic BTC trading strategy. Its core strengths are its disciplined separation of observation from strategy, its use of appropriate non-parametric statistics, and its multi-dimensional approach to the same underlying question: when does volume confirm price movement?</w:t>
      </w:r>
    </w:p>
    <w:p>
      <w:pPr>
        <w:spacing w:after="80" w:before="80"/>
      </w:pPr>
      <w:r>
        <w:t xml:space="preserve"/>
      </w:r>
    </w:p>
    <w:p>
      <w:pPr>
        <w:spacing w:after="80" w:before="80"/>
        <w:jc w:val="left"/>
      </w:pPr>
      <w:r>
        <w:rPr>
          <w:rFonts w:ascii="Arial" w:cs="Arial" w:eastAsia="Arial" w:hAnsi="Arial"/>
          <w:sz w:val="22"/>
          <w:szCs w:val="22"/>
        </w:rPr>
        <w:t xml:space="preserve">The four phases — Volume Profile, Fractal Structure, Key Moment Volume, and VWAP dynamics — are complementary and collectively provide a complete picture of how Bitcoin price interacts with volume across multiple timeframes and structural contexts. The most important findings for practice are:</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Delta direction at HVN nodes significantly improves the predictability of level-based reversals</w:t>
      </w:r>
    </w:p>
    <w:p>
      <w:pPr>
        <w:pStyle w:val="ListParagraph"/>
        <w:numPr>
          <w:ilvl w:val="0"/>
          <w:numId w:val="2"/>
        </w:numPr>
        <w:spacing w:after="40" w:before="40"/>
      </w:pPr>
      <w:r>
        <w:rPr>
          <w:rFonts w:ascii="Arial" w:cs="Arial" w:eastAsia="Arial" w:hAnsi="Arial"/>
          <w:sz w:val="22"/>
          <w:szCs w:val="22"/>
        </w:rPr>
        <w:t xml:space="preserve">Full fractal alignment (+4/-4) is rare, but represents the highest-probability trending environment — the most important context for momentum trades</w:t>
      </w:r>
    </w:p>
    <w:p>
      <w:pPr>
        <w:pStyle w:val="ListParagraph"/>
        <w:numPr>
          <w:ilvl w:val="0"/>
          <w:numId w:val="2"/>
        </w:numPr>
        <w:spacing w:after="40" w:before="40"/>
      </w:pPr>
      <w:r>
        <w:rPr>
          <w:rFonts w:ascii="Arial" w:cs="Arial" w:eastAsia="Arial" w:hAnsi="Arial"/>
          <w:sz w:val="22"/>
          <w:szCs w:val="22"/>
        </w:rPr>
        <w:t xml:space="preserve">Volume is necessary but not sufficient for genuine breakout classification — volume efficiency (price movement per unit of volume) is the more precise discriminant</w:t>
      </w:r>
    </w:p>
    <w:p>
      <w:pPr>
        <w:pStyle w:val="ListParagraph"/>
        <w:numPr>
          <w:ilvl w:val="0"/>
          <w:numId w:val="2"/>
        </w:numPr>
        <w:spacing w:after="40" w:before="40"/>
      </w:pPr>
      <w:r>
        <w:rPr>
          <w:rFonts w:ascii="Arial" w:cs="Arial" w:eastAsia="Arial" w:hAnsi="Arial"/>
          <w:sz w:val="22"/>
          <w:szCs w:val="22"/>
        </w:rPr>
        <w:t xml:space="preserve">VWAP confluence with prior session highs and lows produces the most reliable intraday reactions, with elevated volume and taker aggression confirming participant awareness of the level</w:t>
      </w:r>
    </w:p>
    <w:p>
      <w:pPr>
        <w:spacing w:after="80" w:before="80"/>
      </w:pPr>
      <w:r>
        <w:t xml:space="preserve"/>
      </w:r>
    </w:p>
    <w:p>
      <w:pPr>
        <w:spacing w:after="80" w:before="80"/>
        <w:jc w:val="left"/>
      </w:pPr>
      <w:r>
        <w:rPr>
          <w:rFonts w:ascii="Arial" w:cs="Arial" w:eastAsia="Arial" w:hAnsi="Arial"/>
          <w:sz w:val="22"/>
          <w:szCs w:val="22"/>
        </w:rPr>
        <w:t xml:space="preserve">The suggested improvements — particularly regime-split analysis, dynamic VP bucket sizing, weighted alignment scoring, and AggTrades integration — would materially increase the precision and robustness of the calibration outputs. The trading plan presented is a direct translation of the research findings into executable rules, with risk management parameters designed to survive the inevitable losing periods while preserving capital for the edge cases where all conditions align.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C62828" w:val="clear"/>
            <w:tcMar>
              <w:top w:type="dxa" w:w="100"/>
              <w:left w:type="dxa" w:w="180"/>
              <w:bottom w:type="dxa" w:w="100"/>
              <w:right w:type="dxa" w:w="180"/>
            </w:tcMar>
          </w:tcPr>
          <w:p>
            <w:r>
              <w:rPr>
                <w:rFonts w:ascii="Arial" w:cs="Arial" w:eastAsia="Arial" w:hAnsi="Arial"/>
                <w:b/>
                <w:bCs/>
                <w:color w:val="FFFFFF"/>
                <w:sz w:val="22"/>
                <w:szCs w:val="22"/>
              </w:rPr>
              <w:t xml:space="preserve">Final Reminder</w:t>
            </w:r>
          </w:p>
        </w:tc>
      </w:tr>
      <w:tr>
        <w:tc>
          <w:tcPr>
            <w:tcW w:type="dxa" w:w="9360"/>
            <w:tcBorders>
              <w:top w:val="single" w:color="C62828" w:sz="1"/>
              <w:left w:val="single" w:color="C62828" w:sz="1"/>
              <w:bottom w:val="single" w:color="C62828" w:sz="1"/>
              <w:right w:val="single" w:color="C62828" w:sz="1"/>
            </w:tcBorders>
            <w:shd w:fill="FFEBEE" w:val="clear"/>
            <w:tcMar>
              <w:top w:type="dxa" w:w="60"/>
              <w:left w:type="dxa" w:w="180"/>
              <w:bottom w:type="dxa" w:w="60"/>
              <w:right w:type="dxa" w:w="180"/>
            </w:tcMar>
          </w:tcPr>
          <w:p>
            <w:r>
              <w:rPr>
                <w:rFonts w:ascii="Arial" w:cs="Arial" w:eastAsia="Arial" w:hAnsi="Arial"/>
                <w:sz w:val="21"/>
                <w:szCs w:val="21"/>
              </w:rPr>
              <w:t xml:space="preserve">  This report is based on backtested observation data and does not guarantee future results.</w:t>
            </w:r>
          </w:p>
        </w:tc>
      </w:tr>
      <w:tr>
        <w:tc>
          <w:tcPr>
            <w:tcW w:type="dxa" w:w="9360"/>
            <w:tcBorders>
              <w:top w:val="single" w:color="C62828" w:sz="1"/>
              <w:left w:val="single" w:color="C62828" w:sz="1"/>
              <w:bottom w:val="single" w:color="C62828" w:sz="1"/>
              <w:right w:val="single" w:color="C62828" w:sz="1"/>
            </w:tcBorders>
            <w:shd w:fill="FFEBEE" w:val="clear"/>
            <w:tcMar>
              <w:top w:type="dxa" w:w="60"/>
              <w:left w:type="dxa" w:w="180"/>
              <w:bottom w:type="dxa" w:w="60"/>
              <w:right w:type="dxa" w:w="180"/>
            </w:tcMar>
          </w:tcPr>
          <w:p>
            <w:r>
              <w:rPr>
                <w:rFonts w:ascii="Arial" w:cs="Arial" w:eastAsia="Arial" w:hAnsi="Arial"/>
                <w:sz w:val="21"/>
                <w:szCs w:val="21"/>
              </w:rPr>
              <w:t xml:space="preserve">  All parameters require ongoing re-calibration as market conditions evolve.</w:t>
            </w:r>
          </w:p>
        </w:tc>
      </w:tr>
      <w:tr>
        <w:tc>
          <w:tcPr>
            <w:tcW w:type="dxa" w:w="9360"/>
            <w:tcBorders>
              <w:top w:val="single" w:color="C62828" w:sz="1"/>
              <w:left w:val="single" w:color="C62828" w:sz="1"/>
              <w:bottom w:val="single" w:color="C62828" w:sz="1"/>
              <w:right w:val="single" w:color="C62828" w:sz="1"/>
            </w:tcBorders>
            <w:shd w:fill="FFEBEE" w:val="clear"/>
            <w:tcMar>
              <w:top w:type="dxa" w:w="60"/>
              <w:left w:type="dxa" w:w="180"/>
              <w:bottom w:type="dxa" w:w="60"/>
              <w:right w:type="dxa" w:w="180"/>
            </w:tcMar>
          </w:tcPr>
          <w:p>
            <w:r>
              <w:rPr>
                <w:rFonts w:ascii="Arial" w:cs="Arial" w:eastAsia="Arial" w:hAnsi="Arial"/>
                <w:sz w:val="21"/>
                <w:szCs w:val="21"/>
              </w:rPr>
              <w:t xml:space="preserve">  Manage risk first — the edge from this research is modest and requires many trades to express itself.</w:t>
            </w:r>
          </w:p>
        </w:tc>
      </w:tr>
      <w:tr>
        <w:tc>
          <w:tcPr>
            <w:tcW w:type="dxa" w:w="9360"/>
            <w:tcBorders>
              <w:top w:val="single" w:color="C62828" w:sz="1"/>
              <w:left w:val="single" w:color="C62828" w:sz="1"/>
              <w:bottom w:val="single" w:color="C62828" w:sz="1"/>
              <w:right w:val="single" w:color="C62828" w:sz="1"/>
            </w:tcBorders>
            <w:shd w:fill="FFEBEE" w:val="clear"/>
            <w:tcMar>
              <w:top w:type="dxa" w:w="60"/>
              <w:left w:type="dxa" w:w="180"/>
              <w:bottom w:type="dxa" w:w="60"/>
              <w:right w:type="dxa" w:w="180"/>
            </w:tcMar>
          </w:tcPr>
          <w:p>
            <w:r>
              <w:rPr>
                <w:rFonts w:ascii="Arial" w:cs="Arial" w:eastAsia="Arial" w:hAnsi="Arial"/>
                <w:sz w:val="21"/>
                <w:szCs w:val="21"/>
              </w:rPr>
              <w:t xml:space="preserve">  Past performance of any described pattern does not guarantee future results.</w:t>
            </w:r>
          </w:p>
        </w:tc>
      </w:tr>
    </w:tbl>
    <w:p>
      <w:pPr>
        <w:spacing w:after="80" w:before="80"/>
      </w:pPr>
      <w:r>
        <w:t xml:space="preserve"/>
      </w:r>
    </w:p>
    <w:p>
      <w:pPr>
        <w:spacing w:after="80" w:before="80"/>
      </w:pPr>
      <w:r>
        <w:t xml:space="preserve"/>
      </w:r>
    </w:p>
    <w:p>
      <w:pPr>
        <w:spacing w:after="0" w:before="240"/>
        <w:jc w:val="center"/>
      </w:pPr>
      <w:r>
        <w:rPr>
          <w:rFonts w:ascii="Arial" w:cs="Arial" w:eastAsia="Arial" w:hAnsi="Arial"/>
          <w:i/>
          <w:iCs/>
          <w:color w:val="888888"/>
          <w:sz w:val="22"/>
          <w:szCs w:val="22"/>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2026-04-16T22:29:21.230Z</dcterms:created>
  <dcterms:modified xsi:type="dcterms:W3CDTF">2026-04-16T22:29:21.230Z</dcterms:modified>
</cp:coreProperties>
</file>

<file path=docProps/custom.xml><?xml version="1.0" encoding="utf-8"?>
<Properties xmlns="http://schemas.openxmlformats.org/officeDocument/2006/custom-properties" xmlns:vt="http://schemas.openxmlformats.org/officeDocument/2006/docPropsVTypes"/>
</file>