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03 — Detailed Infrastructure &amp; Network Architecture (DINA)</w:t>
      </w:r>
    </w:p>
    <w:p>
      <w:pPr>
        <w:jc w:val="center"/>
      </w:pPr>
      <w:r>
        <w:rPr>
          <w:i/>
          <w:sz w:val="20"/>
        </w:rPr>
        <w:t>Physical topology baseline • Detailed infrastructure-level design</w:t>
      </w:r>
    </w:p>
    <w:p>
      <w:pPr>
        <w:pStyle w:val="Heading1"/>
      </w:pPr>
      <w:r>
        <w:t>1. Physical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Confirmed?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Dev server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 physical server in basic model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QA server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 physical server in basic model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UAT server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 physical server in basic model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Production server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 physical server in basic model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QA DB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Central QA database instance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Production DB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Central Production database instance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Virtualization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Cloud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Network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Same VLAN/subnet with logical separation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p/>
    <w:p>
      <w:pPr>
        <w:pStyle w:val="Heading1"/>
      </w:pPr>
      <w:r>
        <w:t>2. Detailed Infrastructure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636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ed_infra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Detailed infrastructure/network topology.</w:t>
      </w:r>
    </w:p>
    <w:p>
      <w:pPr>
        <w:pStyle w:val="Heading1"/>
      </w:pPr>
      <w:r>
        <w:t>3. Network Requirements</w:t>
      </w:r>
    </w:p>
    <w:p>
      <w:pPr>
        <w:pStyle w:val="ListBullet"/>
      </w:pPr>
      <w:r>
        <w:t>Keep Dev, QA, UAT and Production logically separated while remaining on the same VLAN/subnet, as explicitly requested.</w:t>
      </w:r>
    </w:p>
    <w:p>
      <w:pPr>
        <w:pStyle w:val="ListBullet"/>
      </w:pPr>
      <w:r>
        <w:t>Apply basic firewall controls using defined IP and port rules.</w:t>
      </w:r>
    </w:p>
    <w:p>
      <w:pPr>
        <w:pStyle w:val="ListBullet"/>
      </w:pPr>
      <w:r>
        <w:t>Document allowed flows explicitly before implementation.</w:t>
      </w:r>
    </w:p>
    <w:p>
      <w:pPr>
        <w:pStyle w:val="ListBullet"/>
      </w:pPr>
      <w:r>
        <w:t>Do not introduce additional network zones or appliances as confirmed requirements unless later approved.</w:t>
      </w:r>
    </w:p>
    <w:p>
      <w:pPr>
        <w:pStyle w:val="Heading1"/>
      </w:pPr>
      <w:r>
        <w:t>4. Required Flow Matrix — To Be Finalized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Destination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IP/Port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Decision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Dev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QA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Controlled package promotion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QA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UAT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Controlled package promotion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UAT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Prod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Controlled release promotion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Central GenAI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Dev/QA/UAT/Prod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Approved data/telemetry/control interactions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Architecture decision required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QA DB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Production DB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Synchronization/replication direction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Clarify exact mechanism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Production DB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QA DB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Production image replication to QA image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Confirmed requirement; mechanism TBD</w:t>
            </w:r>
          </w:p>
        </w:tc>
      </w:tr>
    </w:tbl>
    <w:p/>
    <w:p>
      <w:pPr>
        <w:pStyle w:val="Heading1"/>
      </w:pPr>
      <w:r>
        <w:t>5. Important Architecture Control</w:t>
      </w:r>
    </w:p>
    <w:p>
      <w:r>
        <w:t>The same VLAN/subnet requirement creates weaker network isolation than separate VLANs/subnets. The blueprint therefore treats logical separation, firewall rules, host controls and strict promotion policy as compensating controls. This is an architectural observation, not a change to the stakeholder requirement.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Enterprise Infrastructure Blueprint • Controlled Design Baseline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