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05 — Central GenAI Architecture &amp; Capability Specification</w:t>
      </w:r>
    </w:p>
    <w:p>
      <w:pPr>
        <w:jc w:val="center"/>
      </w:pPr>
      <w:r>
        <w:rPr>
          <w:i/>
          <w:sz w:val="20"/>
        </w:rPr>
        <w:t>Vendor-agnostic intelligence layer for SDLC and DevOps</w:t>
      </w:r>
    </w:p>
    <w:p>
      <w:pPr>
        <w:pStyle w:val="Heading1"/>
      </w:pPr>
      <w:r>
        <w:t>1. Vision</w:t>
      </w:r>
    </w:p>
    <w:p>
      <w:r>
        <w:t>Provide one central GenAI capability that acts as an intelligence layer across the four environments, synchronizing approved information flows and supporting package lifecycle management, test analysis and complex issue diagnosis.</w:t>
      </w:r>
    </w:p>
    <w:p>
      <w:pPr>
        <w:pStyle w:val="Heading1"/>
      </w:pPr>
      <w:r>
        <w:t>2. Required Capability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8"/>
              </w:rPr>
              <w:t>Capability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8"/>
              </w:rPr>
              <w:t>Required behavior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8"/>
              </w:rPr>
              <w:t>Authority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Package design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Assist in designing package structure and release-ready content.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Advisory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Package creation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Assist with package creation/build activities.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Advisory/controlled automation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Package issue detection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Identify anomalies, incompatibilities and likely package defects.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Advisory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Test analysis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Interpret automated/manual test findings and failures.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Advisory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Root-cause analysis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Correlate evidence and propose likely causes for complex issues.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Advisory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Release assistance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Prepare release recommendations/evidence.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Advisory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Cross-environment intelligence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Use approved signals from Dev/QA/UAT/Prod to reason across the lifecycle.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Controlled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Human approval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Require human authorization for promotion/release.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Mandatory control</w:t>
            </w:r>
          </w:p>
        </w:tc>
      </w:tr>
    </w:tbl>
    <w:p/>
    <w:p>
      <w:pPr>
        <w:pStyle w:val="Heading1"/>
      </w:pPr>
      <w:r>
        <w:t>3. Recommended Logical Components — Proposed, Not Yet Confirmed</w:t>
      </w:r>
    </w:p>
    <w:p>
      <w:pPr>
        <w:pStyle w:val="ListBullet"/>
      </w:pPr>
      <w:r>
        <w:t>Model gateway/provider abstraction so the architecture remains vendor neutral.</w:t>
      </w:r>
    </w:p>
    <w:p>
      <w:pPr>
        <w:pStyle w:val="ListBullet"/>
      </w:pPr>
      <w:r>
        <w:t>Policy/guardrail layer.</w:t>
      </w:r>
    </w:p>
    <w:p>
      <w:pPr>
        <w:pStyle w:val="ListBullet"/>
      </w:pPr>
      <w:r>
        <w:t>Context and evidence retrieval layer.</w:t>
      </w:r>
    </w:p>
    <w:p>
      <w:pPr>
        <w:pStyle w:val="ListBullet"/>
      </w:pPr>
      <w:r>
        <w:t>Tool/action broker for CI/CD and monitoring integrations.</w:t>
      </w:r>
    </w:p>
    <w:p>
      <w:pPr>
        <w:pStyle w:val="ListBullet"/>
      </w:pPr>
      <w:r>
        <w:t>Audit trail for prompts, evidence, recommendations and approvals.</w:t>
      </w:r>
    </w:p>
    <w:p>
      <w:pPr>
        <w:pStyle w:val="ListBullet"/>
      </w:pPr>
      <w:r>
        <w:t>Environment-aware context boundaries.</w:t>
      </w:r>
    </w:p>
    <w:p>
      <w:pPr>
        <w:pStyle w:val="Heading1"/>
      </w:pPr>
      <w:r>
        <w:t>4. Data-Control Principle</w:t>
      </w:r>
    </w:p>
    <w:p>
      <w:r>
        <w:t>The central GenAI system should not automatically receive unrestricted production data. The implementation must define approved data classes, masking/sanitization, access policy, retention and auditability before production connectivity is enabled.</w:t>
      </w:r>
    </w:p>
    <w:p>
      <w:pPr>
        <w:pStyle w:val="Heading1"/>
      </w:pPr>
      <w:r>
        <w:t>5. AI Safety Boundary</w:t>
      </w:r>
    </w:p>
    <w:p>
      <w:pPr>
        <w:pStyle w:val="ListBullet"/>
      </w:pPr>
      <w:r>
        <w:t>AI recommends; pipeline enforces policy.</w:t>
      </w:r>
    </w:p>
    <w:p>
      <w:pPr>
        <w:pStyle w:val="ListBullet"/>
      </w:pPr>
      <w:r>
        <w:t>Humans authorize production promotion.</w:t>
      </w:r>
    </w:p>
    <w:p>
      <w:pPr>
        <w:pStyle w:val="ListBullet"/>
      </w:pPr>
      <w:r>
        <w:t>AI output is treated as evidence/recommendation, not as an authoritative test result.</w:t>
      </w:r>
    </w:p>
    <w:p>
      <w:pPr>
        <w:pStyle w:val="ListBullet"/>
      </w:pPr>
      <w:r>
        <w:t>All automated actions must be explicitly allow-listed and auditable.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Enterprise Infrastructure Blueprint • Controlled Design Baseline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