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06 — Data Architecture &amp; Database Synchronization Specification</w:t>
      </w:r>
    </w:p>
    <w:p>
      <w:pPr>
        <w:jc w:val="center"/>
      </w:pPr>
      <w:r>
        <w:rPr>
          <w:i/>
          <w:sz w:val="20"/>
        </w:rPr>
        <w:t>QA + Production database model and controlled image replication</w:t>
      </w:r>
    </w:p>
    <w:p>
      <w:pPr>
        <w:pStyle w:val="Heading1"/>
      </w:pPr>
      <w:r>
        <w:t>1. Confirmed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Instance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QA 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QA testing and 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Production 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Production application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</w:tbl>
    <w:p/>
    <w:p>
      <w:pPr>
        <w:pStyle w:val="Heading1"/>
      </w:pPr>
      <w:r>
        <w:t>2. Required Data Flow</w:t>
      </w:r>
    </w:p>
    <w:p>
      <w:r>
        <w:t>The stakeholder requires synchronization via pipeline and replication of a Production database image to the QA image. The exact direction, technology and sanitization mechanism remain implementation decisions.</w:t>
      </w:r>
    </w:p>
    <w:p>
      <w:pPr>
        <w:pStyle w:val="Heading1"/>
      </w:pPr>
      <w:r>
        <w:t>3. Critical Design Question</w:t>
      </w:r>
    </w:p>
    <w:p>
      <w:r>
        <w:t>A Production → QA image replication flow can expose production information to a lower-trust environment. Before implementation, the architecture must decide whether the QA image is a masked/sanitized derivative of the production image rather than a literal copy.</w:t>
      </w:r>
    </w:p>
    <w:p>
      <w:pPr>
        <w:pStyle w:val="Heading1"/>
      </w:pPr>
      <w:r>
        <w:t>4. Proposed Controlled Flow</w:t>
      </w:r>
    </w:p>
    <w:p>
      <w:pPr>
        <w:pStyle w:val="ListNumber"/>
      </w:pPr>
      <w:r>
        <w:t>Establish approved production database image/snapshot.</w:t>
      </w:r>
    </w:p>
    <w:p>
      <w:pPr>
        <w:pStyle w:val="ListNumber"/>
      </w:pPr>
      <w:r>
        <w:t>Create a controlled QA derivative.</w:t>
      </w:r>
    </w:p>
    <w:p>
      <w:pPr>
        <w:pStyle w:val="ListNumber"/>
      </w:pPr>
      <w:r>
        <w:t>Apply masking/sanitization rules if production data contains sensitive information.</w:t>
      </w:r>
    </w:p>
    <w:p>
      <w:pPr>
        <w:pStyle w:val="ListNumber"/>
      </w:pPr>
      <w:r>
        <w:t>Load/restore the QA image.</w:t>
      </w:r>
    </w:p>
    <w:p>
      <w:pPr>
        <w:pStyle w:val="ListNumber"/>
      </w:pPr>
      <w:r>
        <w:t>Run integrity checks.</w:t>
      </w:r>
    </w:p>
    <w:p>
      <w:pPr>
        <w:pStyle w:val="ListNumber"/>
      </w:pPr>
      <w:r>
        <w:t>Record provenance and synchronization status.</w:t>
      </w:r>
    </w:p>
    <w:p>
      <w:pPr>
        <w:pStyle w:val="ListNumber"/>
      </w:pPr>
      <w:r>
        <w:t>Make the refreshed QA dataset available for testing.</w:t>
      </w:r>
    </w:p>
    <w:p>
      <w:pPr>
        <w:pStyle w:val="Heading1"/>
      </w:pPr>
      <w:r>
        <w:t>5. Deferred Technical Decisions</w:t>
      </w:r>
    </w:p>
    <w:p>
      <w:pPr>
        <w:pStyle w:val="ListBullet"/>
      </w:pPr>
      <w:r>
        <w:t>Database engine.</w:t>
      </w:r>
    </w:p>
    <w:p>
      <w:pPr>
        <w:pStyle w:val="ListBullet"/>
      </w:pPr>
      <w:r>
        <w:t>Snapshot/image technology.</w:t>
      </w:r>
    </w:p>
    <w:p>
      <w:pPr>
        <w:pStyle w:val="ListBullet"/>
      </w:pPr>
      <w:r>
        <w:t>Replication mechanism.</w:t>
      </w:r>
    </w:p>
    <w:p>
      <w:pPr>
        <w:pStyle w:val="ListBullet"/>
      </w:pPr>
      <w:r>
        <w:t>Pipeline mechanism.</w:t>
      </w:r>
    </w:p>
    <w:p>
      <w:pPr>
        <w:pStyle w:val="ListBullet"/>
      </w:pPr>
      <w:r>
        <w:t>Data masking/sanitization technology.</w:t>
      </w:r>
    </w:p>
    <w:p>
      <w:pPr>
        <w:pStyle w:val="ListBullet"/>
      </w:pPr>
      <w:r>
        <w:t>Backup/restore strategy.</w:t>
      </w:r>
    </w:p>
    <w:p>
      <w:pPr>
        <w:pStyle w:val="ListBullet"/>
      </w:pPr>
      <w:r>
        <w:t>Retention schedule.</w:t>
      </w:r>
    </w:p>
    <w:p>
      <w:pPr>
        <w:pStyle w:val="ListBullet"/>
      </w:pPr>
      <w:r>
        <w:t>Consistency and reconciliation method.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