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07 — Test Strategy &amp; Quality Engineering Specification</w:t>
      </w:r>
    </w:p>
    <w:p>
      <w:pPr>
        <w:jc w:val="center"/>
      </w:pPr>
      <w:r>
        <w:rPr>
          <w:i/>
          <w:sz w:val="20"/>
        </w:rPr>
        <w:t>Automated + manual testing across QA and UAT</w:t>
      </w:r>
    </w:p>
    <w:p>
      <w:pPr>
        <w:pStyle w:val="Heading1"/>
      </w:pPr>
      <w:r>
        <w:t>1. Test Model</w:t>
      </w:r>
    </w:p>
    <w:p>
      <w:pPr>
        <w:pStyle w:val="ListBullet"/>
      </w:pPr>
      <w:r>
        <w:t>Automated testing is required.</w:t>
      </w:r>
    </w:p>
    <w:p>
      <w:pPr>
        <w:pStyle w:val="ListBullet"/>
      </w:pPr>
      <w:r>
        <w:t>Manual testing is required.</w:t>
      </w:r>
    </w:p>
    <w:p>
      <w:pPr>
        <w:pStyle w:val="ListBullet"/>
      </w:pPr>
      <w:r>
        <w:t>Manual testing contains two sub-types, but the stakeholder terminology requires confirmation before the architecture labels them definitively.</w:t>
      </w:r>
    </w:p>
    <w:p>
      <w:pPr>
        <w:pStyle w:val="Heading1"/>
      </w:pPr>
      <w:r>
        <w:t>2. Test Lifecycle</w:t>
      </w:r>
    </w:p>
    <w:p>
      <w:pPr>
        <w:pStyle w:val="ListNumber"/>
      </w:pPr>
      <w:r>
        <w:t>Candidate package enters QA.</w:t>
      </w:r>
    </w:p>
    <w:p>
      <w:pPr>
        <w:pStyle w:val="ListNumber"/>
      </w:pPr>
      <w:r>
        <w:t>Automated tests execute.</w:t>
      </w:r>
    </w:p>
    <w:p>
      <w:pPr>
        <w:pStyle w:val="ListNumber"/>
      </w:pPr>
      <w:r>
        <w:t>Manual QA testing executes according to the approved test plan.</w:t>
      </w:r>
    </w:p>
    <w:p>
      <w:pPr>
        <w:pStyle w:val="ListNumber"/>
      </w:pPr>
      <w:r>
        <w:t>GenAI analyzes failures/findings and proposes correlations/RCA.</w:t>
      </w:r>
    </w:p>
    <w:p>
      <w:pPr>
        <w:pStyle w:val="ListNumber"/>
      </w:pPr>
      <w:r>
        <w:t>QA team reviews evidence and determines pass/fail.</w:t>
      </w:r>
    </w:p>
    <w:p>
      <w:pPr>
        <w:pStyle w:val="ListNumber"/>
      </w:pPr>
      <w:r>
        <w:t>Successful candidate progresses to UAT.</w:t>
      </w:r>
    </w:p>
    <w:p>
      <w:pPr>
        <w:pStyle w:val="ListNumber"/>
      </w:pPr>
      <w:r>
        <w:t>UAT users execute business validation.</w:t>
      </w:r>
    </w:p>
    <w:p>
      <w:pPr>
        <w:pStyle w:val="ListNumber"/>
      </w:pPr>
      <w:r>
        <w:t>Approved candidate progresses to Production.</w:t>
      </w:r>
    </w:p>
    <w:p>
      <w:pPr>
        <w:pStyle w:val="Heading1"/>
      </w:pPr>
      <w:r>
        <w:t>3. GenAI in Quality Engineering</w:t>
      </w:r>
    </w:p>
    <w:p>
      <w:pPr>
        <w:pStyle w:val="ListBullet"/>
      </w:pPr>
      <w:r>
        <w:t>Failure summarization.</w:t>
      </w:r>
    </w:p>
    <w:p>
      <w:pPr>
        <w:pStyle w:val="ListBullet"/>
      </w:pPr>
      <w:r>
        <w:t>Duplicate/related failure clustering.</w:t>
      </w:r>
    </w:p>
    <w:p>
      <w:pPr>
        <w:pStyle w:val="ListBullet"/>
      </w:pPr>
      <w:r>
        <w:t>Likely root-cause identification.</w:t>
      </w:r>
    </w:p>
    <w:p>
      <w:pPr>
        <w:pStyle w:val="ListBullet"/>
      </w:pPr>
      <w:r>
        <w:t>Change-to-failure correlation.</w:t>
      </w:r>
    </w:p>
    <w:p>
      <w:pPr>
        <w:pStyle w:val="ListBullet"/>
      </w:pPr>
      <w:r>
        <w:t>Test finding classification.</w:t>
      </w:r>
    </w:p>
    <w:p>
      <w:pPr>
        <w:pStyle w:val="ListBullet"/>
      </w:pPr>
      <w:r>
        <w:t>Suggested next diagnostic actions.</w:t>
      </w:r>
    </w:p>
    <w:p>
      <w:pPr>
        <w:pStyle w:val="ListBullet"/>
      </w:pPr>
      <w:r>
        <w:t>Regression-risk highlighting.</w:t>
      </w:r>
    </w:p>
    <w:p>
      <w:pPr>
        <w:pStyle w:val="Heading1"/>
      </w:pPr>
      <w:r>
        <w:t>4. Quality Gate Principle</w:t>
      </w:r>
    </w:p>
    <w:p>
      <w:r>
        <w:t>GenAI cannot override a failed quality gate. Its output supports human decision-making and can accelerate diagnosis.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Enterprise Infrastructure Blueprint • Controlled Design Baseline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