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09 — Network &amp; Security Baseline</w:t>
      </w:r>
    </w:p>
    <w:p>
      <w:pPr>
        <w:jc w:val="center"/>
      </w:pPr>
      <w:r>
        <w:rPr>
          <w:i/>
          <w:sz w:val="20"/>
        </w:rPr>
        <w:t>Minimum confirmed security controls with explicit future hardening boundary</w:t>
      </w:r>
    </w:p>
    <w:p>
      <w:pPr>
        <w:pStyle w:val="Heading1"/>
      </w:pPr>
      <w:r>
        <w:t>1. Confirmed Controls</w:t>
      </w:r>
    </w:p>
    <w:p>
      <w:pPr>
        <w:pStyle w:val="ListBullet"/>
      </w:pPr>
      <w:r>
        <w:t>Basic firewall.</w:t>
      </w:r>
    </w:p>
    <w:p>
      <w:pPr>
        <w:pStyle w:val="ListBullet"/>
      </w:pPr>
      <w:r>
        <w:t>IP configuration.</w:t>
      </w:r>
    </w:p>
    <w:p>
      <w:pPr>
        <w:pStyle w:val="ListBullet"/>
      </w:pPr>
      <w:r>
        <w:t>Port configuration.</w:t>
      </w:r>
    </w:p>
    <w:p>
      <w:pPr>
        <w:pStyle w:val="ListBullet"/>
      </w:pPr>
      <w:r>
        <w:t>Logical environment separation despite common VLAN/subnet.</w:t>
      </w:r>
    </w:p>
    <w:p>
      <w:pPr>
        <w:pStyle w:val="Heading1"/>
      </w:pPr>
      <w:r>
        <w:t>2. Required Baseline Rules</w:t>
      </w:r>
    </w:p>
    <w:p>
      <w:pPr>
        <w:pStyle w:val="ListNumber"/>
      </w:pPr>
      <w:r>
        <w:t>Only required ports should be open.</w:t>
      </w:r>
    </w:p>
    <w:p>
      <w:pPr>
        <w:pStyle w:val="ListNumber"/>
      </w:pPr>
      <w:r>
        <w:t>Environment-to-environment traffic should be explicitly allow-listed.</w:t>
      </w:r>
    </w:p>
    <w:p>
      <w:pPr>
        <w:pStyle w:val="ListNumber"/>
      </w:pPr>
      <w:r>
        <w:t>Production access should be more restricted than Dev/QA/UAT access even though the current network requirement uses the same VLAN/subnet.</w:t>
      </w:r>
    </w:p>
    <w:p>
      <w:pPr>
        <w:pStyle w:val="ListNumber"/>
      </w:pPr>
      <w:r>
        <w:t>Administrative access should be separately documented.</w:t>
      </w:r>
    </w:p>
    <w:p>
      <w:pPr>
        <w:pStyle w:val="ListNumber"/>
      </w:pPr>
      <w:r>
        <w:t>All GenAI-to-environment interactions should be explicitly authorized.</w:t>
      </w:r>
    </w:p>
    <w:p>
      <w:pPr>
        <w:pStyle w:val="Heading1"/>
      </w:pPr>
      <w:r>
        <w:t>3. Security Topics Not Yet Specified</w:t>
      </w:r>
    </w:p>
    <w:p>
      <w:pPr>
        <w:pStyle w:val="ListBullet"/>
      </w:pPr>
      <w:r>
        <w:t>Identity provider.</w:t>
      </w:r>
    </w:p>
    <w:p>
      <w:pPr>
        <w:pStyle w:val="ListBullet"/>
      </w:pPr>
      <w:r>
        <w:t>Role-based access control.</w:t>
      </w:r>
    </w:p>
    <w:p>
      <w:pPr>
        <w:pStyle w:val="ListBullet"/>
      </w:pPr>
      <w:r>
        <w:t>Secrets management.</w:t>
      </w:r>
    </w:p>
    <w:p>
      <w:pPr>
        <w:pStyle w:val="ListBullet"/>
      </w:pPr>
      <w:r>
        <w:t>Encryption at rest/in transit.</w:t>
      </w:r>
    </w:p>
    <w:p>
      <w:pPr>
        <w:pStyle w:val="ListBullet"/>
      </w:pPr>
      <w:r>
        <w:t>Certificate management.</w:t>
      </w:r>
    </w:p>
    <w:p>
      <w:pPr>
        <w:pStyle w:val="ListBullet"/>
      </w:pPr>
      <w:r>
        <w:t>Endpoint protection.</w:t>
      </w:r>
    </w:p>
    <w:p>
      <w:pPr>
        <w:pStyle w:val="ListBullet"/>
      </w:pPr>
      <w:r>
        <w:t>Vulnerability management.</w:t>
      </w:r>
    </w:p>
    <w:p>
      <w:pPr>
        <w:pStyle w:val="ListBullet"/>
      </w:pPr>
      <w:r>
        <w:t>Privileged access management.</w:t>
      </w:r>
    </w:p>
    <w:p>
      <w:pPr>
        <w:pStyle w:val="ListBullet"/>
      </w:pPr>
      <w:r>
        <w:t>Audit retention.</w:t>
      </w:r>
    </w:p>
    <w:p>
      <w:pPr>
        <w:pStyle w:val="Heading1"/>
      </w:pPr>
      <w:r>
        <w:t>4. Architecture Warning</w:t>
      </w:r>
    </w:p>
    <w:p>
      <w:r>
        <w:t>This document intentionally does not pretend that the confirmed basic firewall/IP/port requirements constitute a complete enterprise security architecture. A security hardening phase should follow once the stakeholder approves the baseline.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Enterprise Infrastructure Blueprint • Controlled Design Baseline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