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FinReg Agentti – Analyysi raportille "op_1_2025.pdf"</w:t>
      </w:r>
    </w:p>
    <w:p>
      <w:pPr>
        <w:pStyle w:val="Heading2"/>
      </w:pPr>
      <w:r>
        <w:t>Vertailu #1</w:t>
      </w:r>
    </w:p>
    <w:p>
      <w:pPr>
        <w:pStyle w:val="IntenseQuote"/>
      </w:pPr>
      <w:r>
        <w:t>Raportin kohta, jota analysoidaan</w:t>
      </w:r>
    </w:p>
    <w:p>
      <w:r>
        <w:t>kansainväliseen Partnership for Carbon Accounting Financials -</w:t>
        <w:br/>
        <w:t xml:space="preserve">yhteistyöhankkeeseen (PCAF), jonka tavoite on kehittää ja ottaa käyttöön yhtenäinen tapa </w:t>
        <w:br/>
        <w:t>arvioida ja raportoida lainoihin ja sijoituksiin liittyviä kasvihuonekaasupäästöjä.</w:t>
        <w:br/>
        <w:br/>
        <w:t xml:space="preserve">OP Ryhmä on asettanut sektorikohtaiset päästövähennystavoitteet luottosalkkunsa </w:t>
        <w:br/>
        <w:t xml:space="preserve">kolmelle toimialalle: energia-, maatalous- ja asuinkiinteistösektoreille. Nämä muodostavat </w:t>
        <w:br/>
        <w:t xml:space="preserve">yli 90 prosenttia OP Ryhmän luottosalkun päästöistä. Tavoitteena on vähentää vuoden </w:t>
        <w:br/>
        <w:t xml:space="preserve">2022 lähtötasosta mitattuna vuoteen 2030 mennessä: 1) energiatuotannon </w:t>
        <w:br/>
        <w:t xml:space="preserve">päästöintensiteettiä 50 prosenttia; 2) absoluuttisia päästöjä maataloudessa 30 prosenttia; </w:t>
        <w:br/>
        <w:t>ja 3) asuntolainojen päästöintensiteettiä 45 prosenttia.</w:t>
        <w:br/>
        <w:br/>
        <w:t xml:space="preserve">OP Ryhmän luonnon monimuotoisuustiekartta sisältää toimenpiteet, joilla OP Ryhmä </w:t>
        <w:br/>
        <w:t xml:space="preserve">edistää luonnon monimuotoisuutta. OP Ryhmän tavoitteena on kasvattaa luontopositiivista </w:t>
        <w:br/>
        <w:t xml:space="preserve">kädenjälkeään vuoteen 2030 mennessä. Luontopositiivisuudella tarkoitetaan sitä, että OP </w:t>
        <w:br/>
        <w:t>Ryhmän toiminnalla on enemmän myönteisiä kuin kielteisiä vaikutuksia luontoon.</w:t>
        <w:br/>
        <w:br/>
        <w:t xml:space="preserve">OP Ryhmä on laatinut ihmisoikeussitoumuksen ja ihmisoikeuspolitiikan. OP Ryhmä </w:t>
        <w:br/>
        <w:t xml:space="preserve">kunnioittaa kaikkia tunnustettuja ihmisoikeuksia, ja ihmisoikeussitoumus sisältää </w:t>
        <w:br/>
        <w:br/>
        <w:t xml:space="preserve">vaatimukset ja odotukset, joita OP Ryhmä on asettanut itselleen ja arvoketjujensa </w:t>
        <w:br/>
        <w:t xml:space="preserve">toimijoille. OP Ryhmä on sitoutunut tekemään korjaavia toimenpiteitä, mikäli sen toiminta </w:t>
        <w:br/>
        <w:t>aiheuttaa haitallisia ihmisoikeusvaikutuksia.</w:t>
        <w:br/>
        <w:br/>
        <w:t xml:space="preserve">Vastuullisuuden katsauskauden keskeiset tapahtumat  </w:t>
        <w:br/>
        <w:br/>
        <w:t xml:space="preserve">OP Ryhmällä on useita kansainvälisten periaatteiden pohjalta kehitettyjä vastuullisen </w:t>
        <w:br/>
        <w:t xml:space="preserve">yritysrahoituksen tuotteita, kuten vihreä laina, kestävyyskriteerilaina ja kestävä </w:t>
        <w:br/>
        <w:t>toimittajarahoitus. Maaliskuun lopussa vihreiden lainojen, kestävyyskriteerilainojen ja -</w:t>
        <w:br/>
        <w:t xml:space="preserve">limiittien yhteenlasketut vastuut olivat 8,7 miljardia euroa (8,6) ja kestävien rahastojen </w:t>
        <w:br/>
        <w:t>osuus kaikista rahastopääomista oli 89,8 prosenttia (88,0). EU:n kestävän rahoituksen</w:t>
      </w:r>
    </w:p>
    <w:p>
      <w:pPr>
        <w:pStyle w:val="IntenseQuote"/>
      </w:pPr>
      <w:r>
        <w:t>Epäselvyydet:</w:t>
      </w:r>
    </w:p>
    <w:p>
      <w:pPr>
        <w:pStyle w:val="ListBullet"/>
      </w:pPr>
      <w:r>
        <w:rPr>
          <w:sz w:val="20"/>
        </w:rPr>
        <w:t>Raportti mainitsee kansainvälisen PCAF-yhteistyöhankkeen ja asettaa sektori- ja toimialakohtaiset päästövähennystavoitteet, mutta ei selvennä, miten nämä tavoitteet ja käytännöt linkittyvät Finanssivalvonnan antamiin nykyisiin sääntelymääräyksiin, kuten muun muassa V-raportoinnin poistamiseen ja COREP-tietojen korvaamiseen [Lähde: 01_2014_m9.pdf].</w:t>
      </w:r>
    </w:p>
    <w:p>
      <w:pPr>
        <w:pStyle w:val="ListBullet"/>
      </w:pPr>
      <w:r>
        <w:rPr>
          <w:sz w:val="20"/>
        </w:rPr>
        <w:t>Raportissa esitellään useita ESG-toimenpiteitä ja -sitoumuksia (hiilineutraalius, luonnon monimuotoisuuden lisääminen, ihmisoikeussitoumukset), mutta ei anneta tarkempia ohjeita tai viittauksia siitä, miten näiden toimien raportointikäytännöt on sovitettu yhteen sääntelyn tarkennetun ohjeistuksen kanssa [Lähde: 01_2014_m9.pdf].</w:t>
      </w:r>
    </w:p>
    <w:p>
      <w:pPr>
        <w:pStyle w:val="IntenseQuote"/>
      </w:pPr>
      <w:r>
        <w:t>Ristiriitaisuudet:</w:t>
      </w:r>
    </w:p>
    <w:p>
      <w:pPr>
        <w:pStyle w:val="ListBullet"/>
      </w:pPr>
      <w:r>
        <w:rPr>
          <w:sz w:val="20"/>
        </w:rPr>
        <w:t>Raportti keskittyy päästövähennystavoitteisiin ja muihin ESG-indikaattoreihin ilman, että siinä huomioitaisiin sääntelyn viimeisimmät muutokset, kuten V-raportoinnin poistuminen ja siihen liittyvä COREP-datan hyödyntäminen, mikä on ristiriidassa sääntelyssä esitettyjen ohjeiden kanssa [Lähde: 01_2014_m9.pdf].</w:t>
      </w:r>
    </w:p>
    <w:p>
      <w:pPr>
        <w:pStyle w:val="ListBullet"/>
      </w:pPr>
      <w:r>
        <w:rPr>
          <w:sz w:val="20"/>
        </w:rPr>
        <w:t>Raportissa käytetty ajankohdallinen viite (tavoitteet vuoteen 2030) ei perustu sääntelyn asettamiin aikarajoituksiin tai päivityksiin, mikä voi johtaa epäselvyyksiin siitä, miten ja milloin sääntelyn mukaiset muutokset ovat otettu käyttöön [Lähde: 01_2014_m9.pdf].</w:t>
      </w:r>
    </w:p>
    <w:p>
      <w:pPr>
        <w:pStyle w:val="IntenseQuote"/>
      </w:pPr>
      <w:r>
        <w:t>Suositukset:</w:t>
      </w:r>
    </w:p>
    <w:p>
      <w:pPr>
        <w:pStyle w:val="ListBullet"/>
      </w:pPr>
      <w:r>
        <w:rPr>
          <w:sz w:val="20"/>
        </w:rPr>
        <w:t>Lisätkää raporttiin selkeä kuvaus siitä, miten yritys on tarkistanut ESG-raportointikäytäntönsä vastaamaan Finanssivalvonnan antamia määräyksiä ja ohjeita, erityisesti huomioiden viimeisimmät muutokset kuten V-raportoinnin poistuminen ja tilannetietojen korvaaminen COREP-raporteilla.</w:t>
      </w:r>
    </w:p>
    <w:p>
      <w:pPr>
        <w:pStyle w:val="ListBullet"/>
      </w:pPr>
      <w:r>
        <w:rPr>
          <w:sz w:val="20"/>
        </w:rPr>
        <w:t>Integroikaa raporttiin erillinen osio, jossa vertaillaan nykyisiä ESG-indikaattoreita ja -tavoitteita sääntelyn vaatimuksiin ja ohjeistuksiin, jotta lukijalle käy ilmi, miten standardien mukaisia raportointikäytänteitä on otettu käyttöön.</w:t>
      </w:r>
    </w:p>
    <w:p>
      <w:pPr>
        <w:pStyle w:val="ListBullet"/>
      </w:pPr>
      <w:r>
        <w:rPr>
          <w:sz w:val="20"/>
        </w:rPr>
        <w:t>Päivittäkää raportissa esitetyt aikataulut ja toimintasuunnitelmat vastaamaan sääntelyssä määriteltyjä päivämääriä ja muutospyyntöjä, sekä dokumentoikaa, miten näihin muutoksiin on reagoitu.</w:t>
      </w:r>
    </w:p>
    <w:p>
      <w:r>
        <w:br w:type="page"/>
      </w:r>
    </w:p>
    <w:p>
      <w:pPr>
        <w:pStyle w:val="Heading2"/>
      </w:pPr>
      <w:r>
        <w:t>Vertailu #2</w:t>
      </w:r>
    </w:p>
    <w:p>
      <w:pPr>
        <w:pStyle w:val="IntenseQuote"/>
      </w:pPr>
      <w:r>
        <w:t>Raportin kohta, jota analysoidaan</w:t>
      </w:r>
    </w:p>
    <w:p>
      <w:r>
        <w:t>103</w:t>
        <w:br/>
        <w:br/>
        <w:t>Liite 20. Lähipiiritapahtumat 105</w:t>
        <w:br/>
        <w:br/>
        <w:t>OP Ryhmän osavuosikatsaus 1.1.–31.3.2025   |   58</w:t>
        <w:br/>
        <w:br/>
        <w:t>pageimage58.jpg</w:t>
        <w:br/>
        <w:br/>
        <w:br/>
        <w:br/>
        <w:br/>
        <w:br/>
        <w:t>Liite 1. Laatimisperiaatteet ja keskeiset tapahtumat</w:t>
        <w:br/>
        <w:t>Laatimisperiaatteet</w:t>
        <w:br/>
        <w:br/>
        <w:t xml:space="preserve">Osavuosikatsaus on laadittu IAS 34 -standardin Osavuosikatsaukset ja vuoden 2024 </w:t>
        <w:br/>
        <w:t xml:space="preserve">tilinpäätöksessä esitettyjen laatimisperiaatteiden mukaan. Laatimisperiaatteiden ja </w:t>
        <w:br/>
        <w:t xml:space="preserve">esittämisen muutokset on kuvattu omassa kappaleessa. </w:t>
        <w:br/>
        <w:br/>
        <w:t xml:space="preserve">Osavuosikatsaus on tilintarkastamaton. Kaikki osavuosikatsauksen luvut on pyöristetty, </w:t>
        <w:br/>
        <w:t>joten yksittäisten lukujen yhteenlaskettu summa saattaa poiketa esitetystä summaluvusta.</w:t>
        <w:br/>
        <w:br/>
        <w:t xml:space="preserve">Osavuosikatsaus on julkaistu suomen, englannin ja ruotsin kielellä. Suomenkielinen </w:t>
        <w:br/>
        <w:t xml:space="preserve">osavuosikatsaus on virallinen, jota käytetään, mikäli havaitaan ristiriitaisuutta </w:t>
        <w:br/>
        <w:t>kieliversioiden välillä.</w:t>
        <w:br/>
        <w:br/>
        <w:t>Johdon harkintaa edellyttävät laatimisperiaatteet</w:t>
        <w:br/>
        <w:t xml:space="preserve">Osavuosikatsausta laadittaessa tehdään tulevaisuutta koskevia arvioita ja oletuksia, joiden </w:t>
        <w:br/>
        <w:t xml:space="preserve">lopputulemat voivat poiketa toteumasta. Lisäksi joudutaan käyttämään harkintaa </w:t>
        <w:br/>
        <w:t xml:space="preserve">tilinpäätöksen laatimisperiaatteiden soveltamisessa. Osavuosikatsauksen laadinnassa </w:t>
        <w:br/>
        <w:t>johdon harkintaa on käytetty erityisesti odotettavissa olevien luottotappioiden laskennassa.</w:t>
        <w:br/>
        <w:br/>
        <w:t>Odotettavissa olevat luottotappiot</w:t>
        <w:br/>
        <w:t xml:space="preserve">Odotettavissa olevien luottotappioiden (ECL) laskentamallien määrittämiseen liittyy johdon </w:t>
        <w:br/>
        <w:t xml:space="preserve">harkintaa. </w:t>
        <w:br/>
        <w:br/>
        <w:t xml:space="preserve">Varsinainen ECL-lukujen laskenta suoritetaan ECL-malleilla, jotka perustuvat havaittavissa </w:t>
        <w:br/>
        <w:t xml:space="preserve">olevien syöttötietojen käyttöön, paitsi jos kyseessä on pääsääntöisesti vaiheessa 2 tai 3 ja </w:t>
        <w:br/>
        <w:t xml:space="preserve">tarkkailulistalla oleva suuri yritysvastuu, jolloin ECL lasketaan asiantuntija-arvioon </w:t>
        <w:br/>
        <w:t xml:space="preserve">perustuvalla kassavirtaperusteisella ECL-menetelmällä. </w:t>
        <w:br/>
        <w:br/>
        <w:t xml:space="preserve">Erityisesti tilanteissa, joissa ECL-mallit eivät riittävästi pysty huomioimaan ennakoimatonta </w:t>
        <w:br/>
        <w:t xml:space="preserve">tapahtumaa tai olosuhteita, käytetään johdon harkintaan perustuvia lisävarauksia </w:t>
        <w:br/>
        <w:t xml:space="preserve">(management overlay) suoraan ECL-lukuihin (ns. post-model adjustments). Niissä </w:t>
        <w:br/>
        <w:t>harkintaa käytetään erityisesti käytetyn skenaarion valinnassa.</w:t>
      </w:r>
    </w:p>
    <w:p>
      <w:pPr>
        <w:pStyle w:val="IntenseQuote"/>
      </w:pPr>
      <w:r>
        <w:t>Epäselvyydet:</w:t>
      </w:r>
    </w:p>
    <w:p>
      <w:pPr>
        <w:pStyle w:val="ListBullet"/>
      </w:pPr>
      <w:r>
        <w:rPr>
          <w:sz w:val="20"/>
        </w:rPr>
        <w:t>Raportin laatimisperiaatteissa ja esitystavassa ei selvennetä, miten ulkopuoliset sitoumukset käsitellään, vaikka sääntely edellyttää niiden esittämistä vähintään tilinpäätöksen liitteiden mukaiseen tarkkuuteen [Lähde: 2016_02.m4.pdf].</w:t>
      </w:r>
    </w:p>
    <w:p>
      <w:pPr>
        <w:pStyle w:val="ListBullet"/>
      </w:pPr>
      <w:r>
        <w:rPr>
          <w:sz w:val="20"/>
        </w:rPr>
        <w:t>Raportissa ei käy ilmi, miten johdannaissopimuksiin, vakuuksiin ja vastuusitoumuksiin liittyvät tiedot esitetään taulukko-osassa, kuten sääntelyssä on määrätty, mikä aiheuttaa epäselvyyttä siitä, onko vaadittu esitystapa noudatettu [Lähde: 2016_02.m4.pdf].</w:t>
      </w:r>
    </w:p>
    <w:p>
      <w:pPr>
        <w:pStyle w:val="IntenseQuote"/>
      </w:pPr>
      <w:r>
        <w:t>Ristiriitaisuudet:</w:t>
      </w:r>
    </w:p>
    <w:p>
      <w:pPr>
        <w:pStyle w:val="ListBullet"/>
      </w:pPr>
      <w:r>
        <w:rPr>
          <w:sz w:val="20"/>
        </w:rPr>
        <w:t>Raportin ESG‐osavuosikatsaus ei sisällä erillistä ja täsmällistä esitystä ulkopuolisista sitoumuksista tekstissä tai liitteissä, mikä on ristiriidassa sääntelyn vaatimuksen kanssa, että nämä tiedot esitetään vähintään tilinpäätöksen liitteiden tasolla [Lähde: 2016_02.m4.pdf].</w:t>
      </w:r>
    </w:p>
    <w:p>
      <w:pPr>
        <w:pStyle w:val="ListBullet"/>
      </w:pPr>
      <w:r>
        <w:rPr>
          <w:sz w:val="20"/>
        </w:rPr>
        <w:t>Raportista puuttuu tabuloitu osuus johdannaissopimuksia, vakuuksia ja vastuusitoumuksia koskevista tiedoista, mikä on ristiriidassa sääntelyn nimenomaisten ohjeistusten kanssa esittämistavasta [Lähde: 2016_02.m4.pdf].</w:t>
      </w:r>
    </w:p>
    <w:p>
      <w:pPr>
        <w:pStyle w:val="IntenseQuote"/>
      </w:pPr>
      <w:r>
        <w:t>Suositukset:</w:t>
      </w:r>
    </w:p>
    <w:p>
      <w:pPr>
        <w:pStyle w:val="ListBullet"/>
      </w:pPr>
      <w:r>
        <w:rPr>
          <w:sz w:val="20"/>
        </w:rPr>
        <w:t>Lisätkää raporttiin erillinen osio tai liite, jossa esitetään ulkopuoliset sitoumukset täsmällisesti tilinpäätöksen liitteiden mukaisella tarkkuudella sääntelyn vaatimusten mukaisesti.</w:t>
      </w:r>
    </w:p>
    <w:p>
      <w:pPr>
        <w:pStyle w:val="ListBullet"/>
      </w:pPr>
      <w:r>
        <w:rPr>
          <w:sz w:val="20"/>
        </w:rPr>
        <w:t>Mukauttakaa esitystapa niin, että johdannaissopimukset, vakuudet ja vastuusitoumukset esitellään taulukkomuodossa, jotta noudatetaan sääntelyssä ohjeistettua tapaa.</w:t>
      </w:r>
    </w:p>
    <w:p>
      <w:pPr>
        <w:pStyle w:val="ListBullet"/>
      </w:pPr>
      <w:r>
        <w:rPr>
          <w:sz w:val="20"/>
        </w:rPr>
        <w:t>Tarkentakaa raportin ohjeistuksia ja käytäntöjä niin, että kaikki sääntelyssä mainitut vaatimukset käydään läpi selkeästi ja johdonmukaisesti sekä varmistetaan eri kieliversioiden välinen yhdenmukaisuus virallisen suomenkielisen version suhteen.</w:t>
      </w:r>
    </w:p>
    <w:p>
      <w:r>
        <w:br w:type="page"/>
      </w:r>
    </w:p>
    <w:p>
      <w:pPr>
        <w:pStyle w:val="Heading2"/>
      </w:pPr>
      <w:r>
        <w:t>Vertailu #3</w:t>
      </w:r>
    </w:p>
    <w:p>
      <w:pPr>
        <w:pStyle w:val="IntenseQuote"/>
      </w:pPr>
      <w:r>
        <w:t>Raportin kohta, jota analysoidaan</w:t>
      </w:r>
    </w:p>
    <w:p>
      <w:r>
        <w:t>OP Ryhmän muut tiedot</w:t>
        <w:br/>
        <w:tab/>
        <w:t>ICT-investoinnit</w:t>
        <w:br/>
        <w:tab/>
        <w:t>Henkilöstö</w:t>
        <w:br/>
        <w:tab/>
        <w:t>OP Ryhmän rakenteessa tapahtuneet muutokset</w:t>
        <w:br/>
        <w:tab/>
        <w:t>OP Osuuskunnan hallinto</w:t>
        <w:br/>
        <w:tab/>
        <w:t>Katsauskauden jälkeiset tapahtumat</w:t>
        <w:br/>
        <w:tab/>
        <w:t>Näkymät</w:t>
        <w:br/>
        <w:br/>
        <w:tab/>
        <w:t>Tunnuslukujen laskentakaavat</w:t>
        <w:br/>
        <w:tab/>
        <w:t>Vakavaraisuustaulukot</w:t>
        <w:br/>
        <w:tab/>
        <w:t>Taulukko-osa</w:t>
        <w:br/>
        <w:tab/>
        <w:t>Tuloslaskelma</w:t>
        <w:br/>
        <w:tab/>
        <w:t>Laaja tuloslaskelma</w:t>
        <w:br/>
        <w:tab/>
        <w:t>Tase</w:t>
        <w:br/>
        <w:tab/>
        <w:t>Oman pääoman muutoslaskelma</w:t>
        <w:br/>
        <w:tab/>
        <w:t>Rahavirtalaskelma</w:t>
        <w:br/>
        <w:tab/>
        <w:t>Liitetaulukot</w:t>
        <w:br/>
        <w:tab/>
        <w:t>Liite 1. Laatimisperiaatteet ja keskeiset tapahtumat</w:t>
        <w:br/>
        <w:tab/>
        <w:t>Liite 2. Segmenttiraportointi</w:t>
        <w:br/>
        <w:tab/>
        <w:t>Liite 3. Korkokate</w:t>
        <w:br/>
        <w:tab/>
        <w:t>Liite 4. Saamisten arvonalentumiset</w:t>
        <w:br/>
        <w:tab/>
        <w:t>Liite 5. Nettopalkkiotuotot</w:t>
        <w:br/>
        <w:tab/>
        <w:t>Liite 6. Vakuutuspalvelutulos</w:t>
        <w:br/>
        <w:tab/>
        <w:t>Liite 7. Vakuutuksen nettorahoitustuotot (+)/-kulut(-)</w:t>
        <w:br/>
        <w:tab/>
        <w:t>Liite 8. Kaupankäyntitarkoituksessa pidettävien rahoitusvarojen nettotuotot</w:t>
        <w:br/>
        <w:tab/>
        <w:t>Liite 9. Sijoitustoiminnan nettotuotot</w:t>
        <w:br/>
        <w:tab/>
        <w:t>Liite 10. Liiketoiminnan muut kulut</w:t>
        <w:br/>
        <w:tab/>
        <w:t>Liite 11. Rahoitusvarojen ja -velkojen luokittelu</w:t>
        <w:br/>
        <w:tab/>
        <w:t>Liite 12. Jälleenvakuutussopimusvarat</w:t>
        <w:br/>
        <w:tab/>
        <w:t>Liite 13. Vakuutussopimusvelat</w:t>
        <w:br/>
        <w:tab/>
        <w:t>Liite 14. Yleiseen liikkeeseen lasketut velkakirjat</w:t>
        <w:br/>
        <w:tab/>
        <w:t>Liite 15. Käyvän arvon rahasto verojen  jälkeen</w:t>
        <w:br/>
        <w:tab/>
        <w:t>Liite 16. Annetut vakuudet ja taseen ulkopuoliset sitoumukset</w:t>
        <w:br/>
        <w:tab/>
        <w:t>Liite 17. Toistuvasti käypään arvoon arvostettujen erien ryhmittely arvostusmenetelmän mukaisesti</w:t>
        <w:br/>
        <w:tab/>
        <w:t>Liite 18. Johdannaissopimukset</w:t>
        <w:br/>
        <w:tab/>
        <w:t>Liite 19. Vakuutus-segmentin sijoitusten jakauma</w:t>
        <w:br/>
        <w:tab/>
        <w:t xml:space="preserve">Liite 20. Lähipiiritapahtumat </w:t>
        <w:br/>
        <w:br/>
        <w:br/>
        <w:tab/>
        <w:t>Taloudellinen informaatio</w:t>
      </w:r>
    </w:p>
    <w:p>
      <w:pPr>
        <w:pStyle w:val="IntenseQuote"/>
      </w:pPr>
      <w:r>
        <w:t>Epäselvyydet:</w:t>
      </w:r>
    </w:p>
    <w:p>
      <w:pPr>
        <w:pStyle w:val="ListBullet"/>
      </w:pPr>
      <w:r>
        <w:rPr>
          <w:sz w:val="20"/>
        </w:rPr>
        <w:t>ESG‐raportin rakenne on epäselvä siinä mielessä, ettei siitä käy ilmi, miten sääntelyssä vaadittuja yksityiskohtaisia taloudellisia erittelyjä (kuten Kirjanpitoarvo, Tilikauden lisäykset, Tilikauden poistot, arvonalentumiset jne.) on käsitelty [Lähde: 3_2021.m1.pdf]</w:t>
      </w:r>
    </w:p>
    <w:p>
      <w:pPr>
        <w:pStyle w:val="ListBullet"/>
      </w:pPr>
      <w:r>
        <w:rPr>
          <w:sz w:val="20"/>
        </w:rPr>
        <w:t>Raportissa esitetyt osiot, kuten ICT‐investoinnit ja OP Ryhmän muut tiedot, jätetään ilman viitettä tai liittämistä sääntelyn yksityiskohtaisiin laskentakaavoihin ja erittelyihin, mikä jättää epäselväksi niiden yhteyden sääntelyssä määriteltyihin vaatimuksiin [Lähde: 3_2021.m1.pdf]</w:t>
      </w:r>
    </w:p>
    <w:p>
      <w:pPr>
        <w:pStyle w:val="IntenseQuote"/>
      </w:pPr>
      <w:r>
        <w:t>Ristiriitaisuudet:</w:t>
      </w:r>
    </w:p>
    <w:p>
      <w:pPr>
        <w:pStyle w:val="ListBullet"/>
      </w:pPr>
      <w:r>
        <w:rPr>
          <w:sz w:val="20"/>
        </w:rPr>
        <w:t>Sääntelytekstissä vaaditaan tarkat erittelyt tilikauden lisäyksistä, vähennyksistä, poistojen ja arvonalentumisten osalta, mutta ESG‐raportissa tätä yksityiskohtaista esitystapaa ei noudateta, mikä johtaa ristiriitaan sääntelyn vaatimusten kanssa [Lähde: 3_2021.m1.pdf]</w:t>
      </w:r>
    </w:p>
    <w:p>
      <w:pPr>
        <w:pStyle w:val="ListBullet"/>
      </w:pPr>
      <w:r>
        <w:rPr>
          <w:sz w:val="20"/>
        </w:rPr>
        <w:t>Sääntelyn mukaiset liitetiedot, kuten 'Taseen vastattavaa koskevat liitetiedot', 'Vakuudet ja vastuusitoumukset' sekä 'Henkilöstöä ja toimielinten jäseniä koskevat liitetiedot', eivät löydy ESG‐raportista detailisoituna, vaan raportti esittää vain yleisluonteisia otsikoita ja liiteluetteloita [Lähde: 3_2021.m1.pdf]</w:t>
      </w:r>
    </w:p>
    <w:p>
      <w:pPr>
        <w:pStyle w:val="ListBullet"/>
      </w:pPr>
      <w:r>
        <w:rPr>
          <w:sz w:val="20"/>
        </w:rPr>
        <w:t>Raportissa mainitut Liite-numerot eivät tarjoa sellaista erittelyä ja selkeyttä, joka sääntelyssä esitetään esimerkeissä (esim. numerointi kuten Kirjanpitoarvo 1.1. ja 31.12.), mikä aiheuttaa ristiriitaa sääntelyn yksityiskohtaisten esitystapojen kanssa [Lähde: 3_2021.m1.pdf]</w:t>
      </w:r>
    </w:p>
    <w:p>
      <w:pPr>
        <w:pStyle w:val="IntenseQuote"/>
      </w:pPr>
      <w:r>
        <w:t>Suositukset:</w:t>
      </w:r>
    </w:p>
    <w:p>
      <w:pPr>
        <w:pStyle w:val="ListBullet"/>
      </w:pPr>
      <w:r>
        <w:rPr>
          <w:sz w:val="20"/>
        </w:rPr>
        <w:t>Lisätkää raporttiin yksityiskohtainen osio, jossa esitetään vaaditut taloudelliset erittelyt vastaamaan sääntelyssä määriteltyjä elementtejä, kuten Kirjanpitoarvo, Tilikauden lisäykset, Tilikauden poistot ja arvonalentumiset.</w:t>
      </w:r>
    </w:p>
    <w:p>
      <w:pPr>
        <w:pStyle w:val="ListBullet"/>
      </w:pPr>
      <w:r>
        <w:rPr>
          <w:sz w:val="20"/>
        </w:rPr>
        <w:t>Laadikaa selkeä kartoitustaulukko, joka yhdistää ESG‐raportin eri osiot sääntelyssä vaadittuihin kohtiin, jotta lukija näkee helposti, miten vaatimukset on täytetty.</w:t>
      </w:r>
    </w:p>
    <w:p>
      <w:pPr>
        <w:pStyle w:val="ListBullet"/>
      </w:pPr>
      <w:r>
        <w:rPr>
          <w:sz w:val="20"/>
        </w:rPr>
        <w:t>Päivittäkää ja jäsentäkää liitetiedot niin, että ne vastaavat tarkasti sääntelyn esikompleksisia esitystapoja (esim. erilliset sarakkeet ja numerointi kuten 'Kirjanpitoarvo 1.1.' ja '31.12.')</w:t>
      </w:r>
    </w:p>
    <w:p>
      <w:pPr>
        <w:pStyle w:val="ListBullet"/>
      </w:pPr>
      <w:r>
        <w:rPr>
          <w:sz w:val="20"/>
        </w:rPr>
        <w:t>Tarjotkaa lisäselvityksiä erityisesti niissä osioissa, joissa sääntely vaatii yksityiskohtaisia erittelyjä, kuten Vakuuksien ja vastuusitoumusten sekä Henkilöstöä ja toimielinten jäseniä koskevissa tiedoissa, jotta raportin informaatio on yhdenmukaista sääntelyvaatimusten kanssa.</w:t>
      </w:r>
    </w:p>
    <w:p>
      <w:r>
        <w:br w:type="page"/>
      </w:r>
    </w:p>
    <w:p>
      <w:pPr>
        <w:pStyle w:val="Heading2"/>
      </w:pPr>
      <w:r>
        <w:t>Vertailu #4</w:t>
      </w:r>
    </w:p>
    <w:p>
      <w:pPr>
        <w:pStyle w:val="IntenseQuote"/>
      </w:pPr>
      <w:r>
        <w:t>Raportin kohta, jota analysoidaan</w:t>
      </w:r>
    </w:p>
    <w:p>
      <w:r>
        <w:t>55</w:t>
        <w:br/>
        <w:t>Rahavirtalaskelma  ...................................... 56</w:t>
        <w:br/>
        <w:t>Liitetaulukot     ............................................... 58</w:t>
        <w:br/>
        <w:br/>
        <w:t>OP Ryhmän osavuosikatsaus 1.1.–31.3.2025   |   6</w:t>
        <w:br/>
        <w:br/>
        <w:t>pageimage6.jpg</w:t>
        <w:br/>
        <w:br/>
        <w:br/>
        <w:br/>
        <w:br/>
        <w:br/>
        <w:t>Toimintaympäristö</w:t>
        <w:br/>
        <w:t xml:space="preserve">Maailmantalouden kasvu hidastui ennakkotietojen mukaan </w:t>
        <w:br/>
        <w:t xml:space="preserve">vuoden 2025 ensimmäisellä vuosineljänneksellä. </w:t>
        <w:br/>
        <w:t xml:space="preserve">Suhdannekyselyjen mukaan luottamus maailmantalouteen </w:t>
        <w:br/>
        <w:t xml:space="preserve">heikkeni hieman. Euroalueen kasvu jatkui verkkaisena </w:t>
        <w:br/>
        <w:t xml:space="preserve">ensimmäisellä vuosineljänneksellä. Euroalueen inflaatio </w:t>
        <w:br/>
        <w:t xml:space="preserve">hidastui vuoden 2024 lopun 2,3 prosentista 2,2 prosenttiin </w:t>
        <w:br/>
        <w:t>maaliskuussa.</w:t>
        <w:br/>
        <w:br/>
        <w:t xml:space="preserve">Osakekurssit laskivat globaalisti MSCI-indeksillä mitattuna </w:t>
        <w:br/>
        <w:t xml:space="preserve">2,1 prosenttia ensimmäisellä vuosineljänneksellä. </w:t>
        <w:br/>
        <w:t xml:space="preserve">Euroalueen ja Suomen osakemarkkinoilla hinnat nousivat </w:t>
        <w:br/>
        <w:t>maaliskuun loppuun mennessä.</w:t>
        <w:br/>
        <w:br/>
        <w:t xml:space="preserve">Euroopan keskuspankki laski ensimmäisellä </w:t>
        <w:br/>
        <w:t xml:space="preserve">vuosineljänneksellä ohjauskorkojaan kahdesti. </w:t>
        <w:br/>
        <w:t xml:space="preserve">Talletuskorko aleni 2,50 prosenttiin. Keskeinen </w:t>
        <w:br/>
        <w:t xml:space="preserve">asuntolainojen viitekorko, 12 kuukauden euriborkorko, laski </w:t>
        <w:br/>
        <w:t xml:space="preserve">maaliskuun loppuun mennessä 2,31 prosenttiin vuoden </w:t>
        <w:br/>
        <w:t>2024 lopun 2,46 prosentista.</w:t>
        <w:br/>
        <w:br/>
        <w:t xml:space="preserve">Suomessa BKT kasvoi ennakkotietojen mukaan </w:t>
        <w:br/>
        <w:t xml:space="preserve">ensimmäisellä vuosineljänneksellä 1,2 prosenttia viime </w:t>
        <w:br/>
        <w:t xml:space="preserve">vuoden vastaavasta ajankohdasta. Työttömyysasteen </w:t>
        <w:br/>
        <w:t xml:space="preserve">trendi nousi maaliskuussa 9,3 prosenttiin vuoden 2024 </w:t>
        <w:br/>
        <w:t xml:space="preserve">lopun 9,0 prosentista. Inflaatio hidastui maaliskuussa 0,5 </w:t>
        <w:br/>
        <w:t xml:space="preserve">prosenttiin vuoden 2024 joulukuun 0,7 prosentista. </w:t>
        <w:br/>
        <w:t xml:space="preserve">Asuntokauppa vilkastui edellisestä vuodesta, ja asuntojen </w:t>
        <w:br/>
        <w:t xml:space="preserve">hintojen lasku edelliseen vuoteen nähden hidastui </w:t>
        <w:br/>
        <w:t>vähäiseksi.</w:t>
        <w:br/>
        <w:br/>
        <w:t xml:space="preserve">Maailmantalouden näkymät ovat heikentyneet Yhdysvaltain </w:t>
        <w:br/>
        <w:t xml:space="preserve">nostettua tuontitulleja ja lisääntyneen epävarmuuden </w:t>
        <w:br/>
        <w:t xml:space="preserve">vuoksi. Suomen talouden kehitys jää aiempia arvioita </w:t>
        <w:br/>
        <w:t xml:space="preserve">huonommaksi, ja epävarmuus näkymien suhteen on </w:t>
        <w:br/>
        <w:t xml:space="preserve">poikkeuksellista. </w:t>
        <w:br/>
        <w:br/>
        <w:t xml:space="preserve">Lainakanta yhteensä Suomessa oli maaliskuussa 0,1 </w:t>
        <w:br/>
        <w:t xml:space="preserve">prosenttia suurempi kuin vuosi sitten. Yritysluottojen </w:t>
        <w:br/>
        <w:br/>
        <w:t xml:space="preserve">määrä laski 2,9 prosenttia vuodentakaisesta, ja </w:t>
        <w:br/>
        <w:t xml:space="preserve">kotitalouksien luottokanta laski 0,3 prosenttia viime </w:t>
        <w:br/>
        <w:t>vuoden vastaavasta ajanjaksosta. Kulutusluottojen määrä</w:t>
      </w:r>
    </w:p>
    <w:p>
      <w:pPr>
        <w:pStyle w:val="IntenseQuote"/>
      </w:pPr>
      <w:r>
        <w:t>Epäselvyydet:</w:t>
      </w:r>
    </w:p>
    <w:p>
      <w:pPr>
        <w:pStyle w:val="ListBullet"/>
      </w:pPr>
      <w:r>
        <w:rPr>
          <w:sz w:val="20"/>
        </w:rPr>
        <w:t>ESG‐raportti esittää talouden makrotaloudellisia indikaattoreita, mutta ei selvennä, miten nämä luvut tai niiden kehitys liittyvät sääntelyssä asetettuihin vaatimuksiin luoton korkojen ja muiden rahoituskustannusten laskennassa, mikä tekee raportin yhteydenpidosta sääntelyyn epäselvän [Lähde: 2024-_03.m1.pdf].</w:t>
      </w:r>
    </w:p>
    <w:p>
      <w:pPr>
        <w:pStyle w:val="ListBullet"/>
      </w:pPr>
      <w:r>
        <w:rPr>
          <w:sz w:val="20"/>
        </w:rPr>
        <w:t>Raportti mainitsee asuntolainojen viitekoron kehityksen, mutta ei tarkenna, noudatetaanko laskennan aikataulua (esim. 'suoritetaan kuukauden kuluttua lainan nostamisesta') tai esitelläänkö laskennassa käytetyt oletukset, kuten sääntely edellyttää [Lähde: 2024-_03.m1.pdf].</w:t>
      </w:r>
    </w:p>
    <w:p>
      <w:pPr>
        <w:pStyle w:val="IntenseQuote"/>
      </w:pPr>
      <w:r>
        <w:t>Ristiriitaisuudet:</w:t>
      </w:r>
    </w:p>
    <w:p>
      <w:pPr>
        <w:pStyle w:val="ListBullet"/>
      </w:pPr>
      <w:r>
        <w:rPr>
          <w:sz w:val="20"/>
        </w:rPr>
        <w:t>Raportista puuttuu kaikki viittaus 'todellinen vuosikorko' -laskelman toteuttamiseen liittyvään metodologiaan, mukaan lukien laskelmassa käytettyjen oletusten ja laskentaperusteiden ilmoittaminen, mikä on ristiriidassa sääntelytekstin (kohdat 8 ja 9) vaatimusten kanssa [Lähde: 2024-_03.m1.pdf].</w:t>
      </w:r>
    </w:p>
    <w:p>
      <w:pPr>
        <w:pStyle w:val="ListBullet"/>
      </w:pPr>
      <w:r>
        <w:rPr>
          <w:sz w:val="20"/>
        </w:rPr>
        <w:t>Sääntelyssä edellytetään, että luoton marginaalin ja muiden luottokustannusten osalta esitetään tarkat laskennalliset oletukset, mutta ESG‐raportti ei sisällä mitään näihin seikkoihin liittyviä tietoja, mikä johtaa puutteellisuuteen suhteessa sääntelyn vaatimuksiin [Lähde: 2024-_03.m1.pdf].</w:t>
      </w:r>
    </w:p>
    <w:p>
      <w:pPr>
        <w:pStyle w:val="IntenseQuote"/>
      </w:pPr>
      <w:r>
        <w:t>Suositukset:</w:t>
      </w:r>
    </w:p>
    <w:p>
      <w:pPr>
        <w:pStyle w:val="ListBullet"/>
      </w:pPr>
      <w:r>
        <w:rPr>
          <w:sz w:val="20"/>
        </w:rPr>
        <w:t>Lisätkää raporttiin erillinen osio, jossa kuvataan yksityiskohtaisesti se, miten laskelmissa määritellään ja raportoidaan todellinen vuosikorko sekä siihen liittyvät oletukset sääntelyn mukaisesti.</w:t>
      </w:r>
    </w:p>
    <w:p>
      <w:pPr>
        <w:pStyle w:val="ListBullet"/>
      </w:pPr>
      <w:r>
        <w:rPr>
          <w:sz w:val="20"/>
        </w:rPr>
        <w:t>Selventäkää, millä aikataululla ja millä laskentaperusteilla esimerkiksi 'kuukauden kuluttua lainan nostamisesta' tehdään takaisinmaksun ja luoton korkojen laskenta, jotta lukija ymmärtää metodologian vastavuoroisuuden sääntelyn kanssa.</w:t>
      </w:r>
    </w:p>
    <w:p>
      <w:pPr>
        <w:pStyle w:val="ListBullet"/>
      </w:pPr>
      <w:r>
        <w:rPr>
          <w:sz w:val="20"/>
        </w:rPr>
        <w:t>Esittäkää avoimesti laskelmassa käytetyt oletukset, kuten viitekoron, luoton marginaalin ja muiden luottokustannusten laskentaperusteet, ja mainitkaa, käytetäänkö Finanssivalvonnan antamia oletuksia vai yritykselle edustavia ehtoja.</w:t>
      </w:r>
    </w:p>
    <w:p>
      <w:pPr>
        <w:pStyle w:val="ListBullet"/>
      </w:pPr>
      <w:r>
        <w:rPr>
          <w:sz w:val="20"/>
        </w:rPr>
        <w:t>Tarvittaessa erotellaan makrotaloudellinen yleiskatsaus ja sääntelyn vaatimusten mukaiset laskelmat, jotta raportin rakenne tukee selkeämpää vaatimustenmukaisuutta.</w:t>
      </w:r>
    </w:p>
    <w:p>
      <w:r>
        <w:br w:type="page"/>
      </w:r>
    </w:p>
    <w:p>
      <w:pPr>
        <w:pStyle w:val="Heading2"/>
      </w:pPr>
      <w:r>
        <w:t>Vertailu #5</w:t>
      </w:r>
    </w:p>
    <w:p>
      <w:pPr>
        <w:pStyle w:val="IntenseQuote"/>
      </w:pPr>
      <w:r>
        <w:t>Raportin kohta, jota analysoidaan</w:t>
      </w:r>
    </w:p>
    <w:p>
      <w:r>
        <w:t xml:space="preserve">tilintarkastusyhteisö PricewaterhouseCoopers Oy, jonka nimeämänä päävastuullisena </w:t>
        <w:br/>
        <w:t xml:space="preserve">tilintarkastajana toimii KHT Lauri Kallaskari. </w:t>
        <w:br/>
        <w:br/>
        <w:t xml:space="preserve">Kestävyysraportoinnin varmentajaksi tilikaudelle 2025 valittiin varsinaisessa osuuskunnan </w:t>
        <w:br/>
        <w:t xml:space="preserve">kokouksessa kestävyystarkastusyhteisö PricewaterhouseCoopers Oy, jonka nimeämänä </w:t>
        <w:br/>
        <w:t>päävastuullisena kestävyysraportointitarkastajana toimii KRT Tiina Puukkoniemi.</w:t>
        <w:br/>
        <w:br/>
        <w:t>Näkymät</w:t>
        <w:br/>
        <w:br/>
        <w:t xml:space="preserve">Maailmantalouden näkymät ovat heikentyneet tullien korotuksien ja lisääntyneen </w:t>
        <w:br/>
        <w:t xml:space="preserve">epävarmuuden vuoksi. Suomen talouden kehitys jää aiempia arvioita huonommaksi, ja </w:t>
        <w:br/>
        <w:t xml:space="preserve">epävarmuus näkymien suhteen on poikkeuksellista. Geopoliittisten kriisien laajeneminen tai </w:t>
        <w:br/>
        <w:t xml:space="preserve">kaupan esteiden lisääntyminen voivat vaikuttaa sijoitusmarkkinoihin sekä OP Ryhmän ja </w:t>
        <w:br/>
        <w:t>sen asiakkaiden taloudelliseen toimintaympäristöön.</w:t>
        <w:br/>
        <w:br/>
        <w:t xml:space="preserve">OP Ryhmän liikevoiton arvioidaan olevan vuonna 2025 hyvällä tasolla, mutta </w:t>
        <w:br/>
        <w:t>muodostuvan kuitenkin pienemmäksi kuin vuosien 2023 ja 2024 liikevoitto.</w:t>
        <w:br/>
        <w:br/>
        <w:t xml:space="preserve">OP Ryhmän tuloskehityksen merkittävimmät epävarmuustekijät liittyvät </w:t>
        <w:br/>
        <w:t xml:space="preserve">toimintaympäristön kehitykseen, korko- ja sijoitusympäristön muutoksiin sekä saamisten </w:t>
        <w:br/>
        <w:t xml:space="preserve">arvonalentumisten kehitykseen. Osavuosikatsauksessa esitetyt ennusteet ja arviot </w:t>
        <w:br/>
        <w:t xml:space="preserve">perustuvat tämänhetkiseen näkemykseen talouden kehityksestä. Toteutuvat tulokset voivat </w:t>
        <w:br/>
        <w:t>olla merkittävästi erilaiset.</w:t>
        <w:br/>
        <w:br/>
        <w:t>OP Ryhmän osavuosikatsaus 1.1.–31.3.2025   |   44</w:t>
        <w:br/>
        <w:br/>
        <w:t>pageimage44.jpg</w:t>
        <w:br/>
        <w:br/>
        <w:br/>
        <w:br/>
        <w:br/>
        <w:br/>
        <w:t>Tunnuslukujen laskentakaavat</w:t>
        <w:br/>
        <w:t xml:space="preserve">Vaihtoehtoisia tunnuslukuja esitetään kuvaamaan liiketoiminnan taloudellista kehitystä ja parantamaan vertailukelpoisuutta eri raportointikausien välillä. Käytettyjen vaihtoehtoisten </w:t>
        <w:br/>
        <w:t>tunnuslukujen laskentakaavat on esitetty alla. Tunnuslukukaavat ovat johdettavissa esitetyistä luvuista, joten erillisiä vaihtoehtoisten tunnuslukujen täsmäytyslaskelmia ei ole esitetty.</w:t>
        <w:br/>
        <w:br/>
        <w:t xml:space="preserve">Vaihtoehtoiset tunnusluvut </w:t>
        <w:br/>
        <w:br/>
        <w:t>Tunnusluku Laskentakaava Kuvaus</w:t>
        <w:br/>
        <w:br/>
        <w:t>Oman pääoman tuotto (ROE), %</w:t>
        <w:br/>
        <w:t>Katsauskauden tulos x (tilikauden päivät/katsauskauden päivät)</w:t>
      </w:r>
    </w:p>
    <w:p>
      <w:pPr>
        <w:pStyle w:val="IntenseQuote"/>
      </w:pPr>
      <w:r>
        <w:t>Epäselvyydet:</w:t>
      </w:r>
    </w:p>
    <w:p>
      <w:pPr>
        <w:pStyle w:val="ListBullet"/>
      </w:pPr>
      <w:r>
        <w:rPr>
          <w:sz w:val="20"/>
        </w:rPr>
        <w:t>Raportissa ei selkeästi määritellä, miten vaihtoehtoisten tunnuslukujen laskentakaavat ja esitetyt näkymät varmistetaan vastaamaan tilinpäätöksessä noudatettua laskentaperiaatetta, jolloin raportoinnin tarkkuus saattaa poiketa vaatimuksesta [Lähde: 2016_02.m4.pdf]</w:t>
      </w:r>
    </w:p>
    <w:p>
      <w:pPr>
        <w:pStyle w:val="ListBullet"/>
      </w:pPr>
      <w:r>
        <w:rPr>
          <w:sz w:val="20"/>
        </w:rPr>
        <w:t>Vertailutietojen esittämisestä puuttuu selvitys siitä, miten viimeksi päättyneen katsauskauden luvut on ryhmitelty ja tarvittaessa oikaistu, mikä aiheuttaa epäselvyyksiä sääntelyssä edellytetyssä vertailtavuudessa [Lähde: 2016_02.m4.pdf]</w:t>
      </w:r>
    </w:p>
    <w:p>
      <w:pPr>
        <w:pStyle w:val="IntenseQuote"/>
      </w:pPr>
      <w:r>
        <w:t>Ristiriitaisuudet:</w:t>
      </w:r>
    </w:p>
    <w:p>
      <w:pPr>
        <w:pStyle w:val="ListBullet"/>
      </w:pPr>
      <w:r>
        <w:rPr>
          <w:sz w:val="20"/>
        </w:rPr>
        <w:t>Sääntely vaatii, että selostusosassa esitellään toisinaan merkittävät seikat, kuten uudet investoinnit, yrityskaupat ja muut poikkeukselliset tapahtumat; ESG‐raportin osalta tällainen selostusosa puuttuu, mikä on ristiriidassa sääntelyn vaatimusten kanssa [Lähde: 2016_02.m4.pdf]</w:t>
      </w:r>
    </w:p>
    <w:p>
      <w:pPr>
        <w:pStyle w:val="ListBullet"/>
      </w:pPr>
      <w:r>
        <w:rPr>
          <w:sz w:val="20"/>
        </w:rPr>
        <w:t>Raportista ei käy ilmi, miten raportin tunnusluvut ja taloudelliset arvioinnit yhdistetään tai varmistetaan olevan yhdenmukaisia tilinpäätöksen lukujen kanssa, vaikka sääntely edellyttää raportoinnin tarkkuuden säilyttämistä [Lähde: 2016_02.m4.pdf]</w:t>
      </w:r>
    </w:p>
    <w:p>
      <w:pPr>
        <w:pStyle w:val="IntenseQuote"/>
      </w:pPr>
      <w:r>
        <w:t>Suositukset:</w:t>
      </w:r>
    </w:p>
    <w:p>
      <w:pPr>
        <w:pStyle w:val="ListBullet"/>
      </w:pPr>
      <w:r>
        <w:rPr>
          <w:sz w:val="20"/>
        </w:rPr>
        <w:t>Lisää raporttiin selvitys siitä, miten käytetyt laskentakaavat on johdettu tilinpäätöksessä noudatetuista luvuista ja miten varmistetaan raportoinnin tarkkuus suhteessa tilinpäätökseen [Lähde: 2016_02.m4.pdf]</w:t>
      </w:r>
    </w:p>
    <w:p>
      <w:pPr>
        <w:pStyle w:val="ListBullet"/>
      </w:pPr>
      <w:r>
        <w:rPr>
          <w:sz w:val="20"/>
        </w:rPr>
        <w:t>Laajenna vertailutietojen osuutta siten, että edellisen katsauskauden luvut esitetään ryhmiteltynä ja mahdolliset oikaisut perustellaan vaaditulla tavalla [Lähde: 2016_02.m4.pdf]</w:t>
      </w:r>
    </w:p>
    <w:p>
      <w:pPr>
        <w:pStyle w:val="ListBullet"/>
      </w:pPr>
      <w:r>
        <w:rPr>
          <w:sz w:val="20"/>
        </w:rPr>
        <w:t>Käytä erillistä selostusosaa, jossa käsitellään katsauskauden merkittäviä seikkoja, kuten uudet investoinnit, yrityskaupat tai muut merkittävät tapahtumat, jolloin noudatetaan sääntelyn kohdan (14) ja (15) vaatimuksia [Lähde: 2016_02.m4.pdf]</w:t>
      </w:r>
    </w:p>
    <w:p>
      <w:pPr>
        <w:pStyle w:val="ListBullet"/>
      </w:pPr>
      <w:r>
        <w:rPr>
          <w:sz w:val="20"/>
        </w:rPr>
        <w:t>Varmista, että raportin laatimisperiaatteet ja niiden vaikutukset selvästi esitetään, jotta lukija saa riittävän ja oikean kuvan valvottavan taloudellisesta asemasta [Lähde: 2016_02.m4.pdf]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