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Movimiento de cámara utilizados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9"/>
          <w:szCs w:val="29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highlight w:val="white"/>
          <w:u w:val="single"/>
          <w:rtl w:val="0"/>
        </w:rPr>
        <w:t xml:space="preserve">Plano contraplano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Un plano y un contraplano consisten básicamente en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dos planos que van seguidos en el montaje, y que están enfrentados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físicamente.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Lo hemos utilizado principalmente en todas las conversaciones que suceden en nuestra animática.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</w:rPr>
        <w:drawing>
          <wp:inline distB="114300" distT="114300" distL="114300" distR="114300">
            <wp:extent cx="3671888" cy="27539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753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9"/>
          <w:szCs w:val="2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9"/>
          <w:szCs w:val="29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highlight w:val="white"/>
          <w:u w:val="single"/>
          <w:rtl w:val="0"/>
        </w:rPr>
        <w:t xml:space="preserve">Plano General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before="200" w:line="384.00000000000006" w:lineRule="auto"/>
        <w:ind w:left="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Plano que hemos utilizado para todas las escenas de exposición durante la llegada de los soldados a la aldea o al principio mismo cuando el protagonista va a la plaza del pueblo.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before="200" w:line="384.00000000000006" w:lineRule="auto"/>
        <w:ind w:left="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before="200" w:line="384.00000000000006" w:lineRule="auto"/>
        <w:ind w:left="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before="200" w:line="384.00000000000006" w:lineRule="auto"/>
        <w:ind w:left="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before="200" w:line="384.00000000000006" w:lineRule="auto"/>
        <w:ind w:left="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before="200" w:line="384.00000000000006" w:lineRule="auto"/>
        <w:ind w:left="0" w:firstLine="0"/>
        <w:rPr>
          <w:rFonts w:ascii="Roboto" w:cs="Roboto" w:eastAsia="Roboto" w:hAnsi="Roboto"/>
          <w:sz w:val="29"/>
          <w:szCs w:val="29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highlight w:val="white"/>
          <w:u w:val="single"/>
          <w:rtl w:val="0"/>
        </w:rPr>
        <w:t xml:space="preserve">Truck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before="200" w:line="384.00000000000006" w:lineRule="auto"/>
        <w:ind w:left="0" w:firstLine="0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Travelling lateral: la cámara acompaña a un objeto o sujeto que se desplaza horizontalmente.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</w:rPr>
        <w:drawing>
          <wp:inline distB="114300" distT="114300" distL="114300" distR="114300">
            <wp:extent cx="2786063" cy="17647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764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En nuestra animación no hemos usado de manera destacable o evidente ningún efecto más de movimiento de cámara.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9"/>
          <w:szCs w:val="29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highlight w:val="white"/>
          <w:u w:val="single"/>
          <w:rtl w:val="0"/>
        </w:rPr>
        <w:t xml:space="preserve">Primer Plano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9"/>
          <w:szCs w:val="2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Se han utilizado primeros planos en todo momento que un personaje hablaba o se quería dar énfasis a una acción importante en la narrativa.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