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60"/>
      </w:pPr>
      <w:r>
        <w:rPr>
          <w:rFonts w:ascii="Calibri" w:hAnsi="Calibri"/>
          <w:b/>
          <w:color w:val="003886"/>
          <w:sz w:val="32"/>
        </w:rPr>
        <w:t>AVALIAÇÃO — BLOCO 6</w:t>
      </w:r>
    </w:p>
    <w:p>
      <w:pPr>
        <w:jc w:val="center"/>
        <w:spacing w:before="0" w:after="60"/>
      </w:pPr>
      <w:r>
        <w:rPr>
          <w:rFonts w:ascii="Calibri" w:hAnsi="Calibri"/>
          <w:b/>
          <w:color w:val="003886"/>
          <w:sz w:val="26"/>
        </w:rPr>
        <w:t>Auditoria de Dados, BI e Transparência Reguladora</w:t>
      </w:r>
    </w:p>
    <w:p>
      <w:pPr>
        <w:jc w:val="center"/>
        <w:spacing w:before="0" w:after="40"/>
      </w:pPr>
      <w:r>
        <w:rPr>
          <w:rFonts w:ascii="Calibri" w:hAnsi="Calibri"/>
          <w:color w:val="444444"/>
          <w:sz w:val="22"/>
        </w:rPr>
        <w:t>Curso ABAR — Infraestrutura de Gás: Medições Inteligentes e Gestão Integrada</w:t>
      </w:r>
    </w:p>
    <w:p>
      <w:pPr>
        <w:jc w:val="center"/>
        <w:spacing w:before="0" w:after="80"/>
      </w:pPr>
      <w:r>
        <w:rPr>
          <w:rFonts w:ascii="Calibri" w:hAnsi="Calibri"/>
          <w:i/>
          <w:color w:val="444444"/>
          <w:sz w:val="22"/>
        </w:rPr>
        <w:t>Fevereiro de 2026  |  Prof. Raul Araujo</w:t>
      </w:r>
    </w:p>
    <w:p>
      <w:pPr>
        <w:spacing w:before="0" w:after="0"/>
        <w:pBdr>
          <w:bottom w:val="single" w:sz="12" w:space="1" w:color="003886"/>
        </w:pBdr>
      </w:pPr>
    </w:p>
    <w:p>
      <w:pPr>
        <w:spacing w:before="120" w:after="40"/>
      </w:pPr>
      <w:r>
        <w:rPr>
          <w:rFonts w:ascii="Calibri" w:hAnsi="Calibri"/>
          <w:b/>
          <w:sz w:val="22"/>
        </w:rPr>
        <w:t xml:space="preserve">Nome do Aluno: </w:t>
      </w:r>
      <w:r>
        <w:rPr>
          <w:rFonts w:ascii="Calibri" w:hAnsi="Calibri"/>
          <w:sz w:val="22"/>
        </w:rPr>
        <w:t>_______________________________________________________</w:t>
      </w:r>
    </w:p>
    <w:p>
      <w:pPr>
        <w:spacing w:before="0" w:after="80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sz w:val="22"/>
        </w:rPr>
        <w:t>____________________</w:t>
      </w:r>
    </w:p>
    <w:p>
      <w:pPr>
        <w:jc w:val="center"/>
        <w:spacing w:before="0" w:after="80"/>
        <w:shd w:val="clear" w:color="auto" w:fill="FFF2CC"/>
      </w:pPr>
      <w:r>
        <w:rPr>
          <w:rFonts w:ascii="Calibri" w:hAnsi="Calibri"/>
          <w:b/>
          <w:color w:val="7F6000"/>
          <w:sz w:val="22"/>
        </w:rPr>
        <w:t xml:space="preserve">  ★  VERSÃO PROFESSOR — COM GABARITO  ★  </w:t>
      </w:r>
    </w:p>
    <w:p>
      <w:pPr>
        <w:spacing w:before="0" w:after="0"/>
        <w:pBdr>
          <w:bottom w:val="single" w:sz="12" w:space="1" w:color="003886"/>
        </w:pBdr>
      </w:pPr>
    </w:p>
    <w:p>
      <w:pPr>
        <w:spacing w:before="100" w:after="80"/>
      </w:pPr>
      <w:r>
        <w:rPr>
          <w:rFonts w:ascii="Calibri" w:hAnsi="Calibri"/>
          <w:i/>
          <w:color w:val="555555"/>
          <w:sz w:val="20"/>
        </w:rPr>
        <w:t>Instruções: Leia cada questão com atenção e marque a alternativa que você considera correta. Cada questão vale 1 ponto. Total: 10 pontos.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01. </w:t>
      </w:r>
      <w:r>
        <w:rPr>
          <w:rFonts w:ascii="Calibri" w:hAnsi="Calibri"/>
          <w:b/>
          <w:color w:val="1A1A1A"/>
          <w:sz w:val="22"/>
        </w:rPr>
        <w:t>Qual das afirmações abaixo melhor descreve uma conquista recente de modelos de IA em 2025?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Modelos de IA atingiram pela primeira vez pontuação acima de 50% no benchmark MMLU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(B)  </w:t>
      </w:r>
      <w:r>
        <w:rPr>
          <w:rFonts w:ascii="Calibri" w:hAnsi="Calibri"/>
          <w:b/>
          <w:color w:val="1F5CAB"/>
          <w:sz w:val="22"/>
        </w:rPr>
        <w:t>Um modelo de IA obteve medalha de ouro na Olimpíada Internacional de Matemática (IMO)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O primeiro chatbot comercial foi lançado ao público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IA superou humanos apenas em jogos de tabuleiro como xadrez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(B)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02. </w:t>
      </w:r>
      <w:r>
        <w:rPr>
          <w:rFonts w:ascii="Calibri" w:hAnsi="Calibri"/>
          <w:b/>
          <w:color w:val="1A1A1A"/>
          <w:sz w:val="22"/>
        </w:rPr>
        <w:t>Um regulador sem conhecimento de programação precisa analisar uma planilha simples de dados mensais. Qual ferramenta é mais indicada?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Claude Code CLI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VS Code com GitHub Copilot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(C)  </w:t>
      </w:r>
      <w:r>
        <w:rPr>
          <w:rFonts w:ascii="Calibri" w:hAnsi="Calibri"/>
          <w:b/>
          <w:color w:val="1F5CAB"/>
          <w:sz w:val="22"/>
        </w:rPr>
        <w:t>ChatGPT na web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TensorFlow Playground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(C)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03. </w:t>
      </w:r>
      <w:r>
        <w:rPr>
          <w:rFonts w:ascii="Calibri" w:hAnsi="Calibri"/>
          <w:b/>
          <w:color w:val="1A1A1A"/>
          <w:sz w:val="22"/>
        </w:rPr>
        <w:t>Na IBM Data Science Methodology, qual etapa é potencializada quando usamos IA para ler documentos técnicos (como apostilas e normas) e extrair automaticamente equações e metodologias?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Coleta dos Dados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(B)  </w:t>
      </w:r>
      <w:r>
        <w:rPr>
          <w:rFonts w:ascii="Calibri" w:hAnsi="Calibri"/>
          <w:b/>
          <w:color w:val="1F5CAB"/>
          <w:sz w:val="22"/>
        </w:rPr>
        <w:t>Entendimento do Negócio / Criação do Modelo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Deployment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Feedback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(B)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04. </w:t>
      </w:r>
      <w:r>
        <w:rPr>
          <w:rFonts w:ascii="Calibri" w:hAnsi="Calibri"/>
          <w:b/>
          <w:color w:val="1A1A1A"/>
          <w:sz w:val="22"/>
        </w:rPr>
        <w:t>Ao pedir ao Claude Code para coletar dados de uma agência reguladora na internet, estamos aplicando qual etapa da metodologia de dados?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Criação do Modelo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Avaliação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(C)  </w:t>
      </w:r>
      <w:r>
        <w:rPr>
          <w:rFonts w:ascii="Calibri" w:hAnsi="Calibri"/>
          <w:b/>
          <w:color w:val="1F5CAB"/>
          <w:sz w:val="22"/>
        </w:rPr>
        <w:t>Coleta dos Dados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Preparação dos Dados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(C)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05. </w:t>
      </w:r>
      <w:r>
        <w:rPr>
          <w:rFonts w:ascii="Calibri" w:hAnsi="Calibri"/>
          <w:b/>
          <w:color w:val="1A1A1A"/>
          <w:sz w:val="22"/>
        </w:rPr>
        <w:t>O sistema demonstrado nesta aula parte de uma planilha Excel e gera um relatório Word de mais de 100 páginas em menos de 2 minutos. Qual tecnologia é responsável pelo conteúdo textual do relatório?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Template Word preenchido manualmente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(B)  </w:t>
      </w:r>
      <w:r>
        <w:rPr>
          <w:rFonts w:ascii="Calibri" w:hAnsi="Calibri"/>
          <w:b/>
          <w:color w:val="1F5CAB"/>
          <w:sz w:val="22"/>
        </w:rPr>
        <w:t>Modelo de linguagem (LLM) Gemini chamado via API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Algoritmo de machine learning treinado com dados históricos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Macro VBA do Excel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(B)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06. </w:t>
      </w:r>
      <w:r>
        <w:rPr>
          <w:rFonts w:ascii="Calibri" w:hAnsi="Calibri"/>
          <w:b/>
          <w:color w:val="1A1A1A"/>
          <w:sz w:val="22"/>
        </w:rPr>
        <w:t>Para que serve o NotebookLM no contexto desta aula?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Executar notebooks Jupyter na nuvem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(B)  </w:t>
      </w:r>
      <w:r>
        <w:rPr>
          <w:rFonts w:ascii="Calibri" w:hAnsi="Calibri"/>
          <w:color w:val="333333"/>
          <w:sz w:val="22"/>
        </w:rPr>
        <w:t>Criar dashboards interativos a partir de dados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(C)  </w:t>
      </w:r>
      <w:r>
        <w:rPr>
          <w:rFonts w:ascii="Calibri" w:hAnsi="Calibri"/>
          <w:b/>
          <w:color w:val="1F5CAB"/>
          <w:sz w:val="22"/>
        </w:rPr>
        <w:t>Carregar documentos técnicos e conversar com eles usando IA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Substituir o Python na análise de dados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(C)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07. </w:t>
      </w:r>
      <w:r>
        <w:rPr>
          <w:rFonts w:ascii="Calibri" w:hAnsi="Calibri"/>
          <w:b/>
          <w:color w:val="1A1A1A"/>
          <w:sz w:val="22"/>
        </w:rPr>
        <w:t>O sistema de auditoria demonstrado reduziu o tempo de geração do relatório de ~20 minutos para ~1 minuto e 42 segundos. Qual estratégia foi usada?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Uso de hardware mais potente (GPU)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(B)  </w:t>
      </w:r>
      <w:r>
        <w:rPr>
          <w:rFonts w:ascii="Calibri" w:hAnsi="Calibri"/>
          <w:b/>
          <w:color w:val="1F5CAB"/>
          <w:sz w:val="22"/>
        </w:rPr>
        <w:t>Chamadas paralelas à API de IA (28 seções simultâneas)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Caching de dados no navegador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Compressão do arquivo Word gerado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(B)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08. </w:t>
      </w:r>
      <w:r>
        <w:rPr>
          <w:rFonts w:ascii="Calibri" w:hAnsi="Calibri"/>
          <w:b/>
          <w:color w:val="1A1A1A"/>
          <w:sz w:val="22"/>
        </w:rPr>
        <w:t>Um auditor regulatório usa IA para verificar se o balanço de massa de um distrito de gás está equilibrado, usando dados de 183 dias. Isso se enquadra em qual categoria de aplicação?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IA gerativa para criação de conteúdo artístico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(B)  </w:t>
      </w:r>
      <w:r>
        <w:rPr>
          <w:rFonts w:ascii="Calibri" w:hAnsi="Calibri"/>
          <w:b/>
          <w:color w:val="1F5CAB"/>
          <w:sz w:val="22"/>
        </w:rPr>
        <w:t>IA aplicada à transparência regulatória e conformidade técnica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Machine learning preditivo para previsão de demanda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Processamento de linguagem natural para análise de sentimentos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(B)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09. </w:t>
      </w:r>
      <w:r>
        <w:rPr>
          <w:rFonts w:ascii="Calibri" w:hAnsi="Calibri"/>
          <w:b/>
          <w:color w:val="1A1A1A"/>
          <w:sz w:val="22"/>
        </w:rPr>
        <w:t>Qual é o principal argumento desta aula em favor do uso de IA na ciência de dados para reguladores e auditores?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IA substitui completamente a necessidade de conhecimento técnico no domínio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(B)  </w:t>
      </w:r>
      <w:r>
        <w:rPr>
          <w:rFonts w:ascii="Calibri" w:hAnsi="Calibri"/>
          <w:b/>
          <w:color w:val="1F5CAB"/>
          <w:sz w:val="22"/>
        </w:rPr>
        <w:t>IA permite que profissionais com conhecimento de domínio (gás, regulação) executem análises sem precisar programar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IA é mais precisa do que métodos estatísticos tradicionais em qualquer contexto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Ferramentas de IA são gratuitas e não exigem infraestrutura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(B)</w:t>
      </w:r>
    </w:p>
    <w:p>
      <w:pPr>
        <w:spacing w:before="140" w:after="30"/>
      </w:pPr>
      <w:r>
        <w:rPr>
          <w:rFonts w:ascii="Calibri" w:hAnsi="Calibri"/>
          <w:b/>
          <w:color w:val="003886"/>
          <w:sz w:val="23"/>
        </w:rPr>
        <w:t xml:space="preserve">Questão 10. </w:t>
      </w:r>
      <w:r>
        <w:rPr>
          <w:rFonts w:ascii="Calibri" w:hAnsi="Calibri"/>
          <w:b/>
          <w:color w:val="1A1A1A"/>
          <w:sz w:val="22"/>
        </w:rPr>
        <w:t>No projeto demonstrado nesta aula, qual é a ordem correta do fluxo de trabalho?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(A)  </w:t>
      </w:r>
      <w:r>
        <w:rPr>
          <w:rFonts w:ascii="Calibri" w:hAnsi="Calibri"/>
          <w:color w:val="333333"/>
          <w:sz w:val="22"/>
        </w:rPr>
        <w:t>Relatório Word → Planilha Excel → Notebooks → API Gemini</w:t>
      </w:r>
    </w:p>
    <w:p>
      <w:pPr>
        <w:spacing w:before="20" w:after="20"/>
        <w:ind w:left="360"/>
      </w:pPr>
      <w:r>
        <w:rPr>
          <w:rFonts w:ascii="Calibri" w:hAnsi="Calibri"/>
          <w:b/>
          <w:color w:val="1F5CAB"/>
          <w:sz w:val="22"/>
        </w:rPr>
        <w:t xml:space="preserve">(B)  </w:t>
      </w:r>
      <w:r>
        <w:rPr>
          <w:rFonts w:ascii="Calibri" w:hAnsi="Calibri"/>
          <w:b/>
          <w:color w:val="1F5CAB"/>
          <w:sz w:val="22"/>
        </w:rPr>
        <w:t>Planilha Excel → 7 Notebooks de análise → API Gemini (28 chamadas) → Relatório Word (100+ pág.)  ✓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(C)  </w:t>
      </w:r>
      <w:r>
        <w:rPr>
          <w:rFonts w:ascii="Calibri" w:hAnsi="Calibri"/>
          <w:color w:val="333333"/>
          <w:sz w:val="22"/>
        </w:rPr>
        <w:t>Apostila PDF → ChatGPT → Planilha Excel → Dashboard</w:t>
      </w:r>
    </w:p>
    <w:p>
      <w:pPr>
        <w:spacing w:before="20" w:after="20"/>
        <w:ind w:left="360"/>
      </w:pPr>
      <w:r>
        <w:rPr>
          <w:rFonts w:ascii="Calibri" w:hAnsi="Calibri"/>
          <w:color w:val="333333"/>
          <w:sz w:val="22"/>
        </w:rPr>
        <w:t xml:space="preserve">(D)  </w:t>
      </w:r>
      <w:r>
        <w:rPr>
          <w:rFonts w:ascii="Calibri" w:hAnsi="Calibri"/>
          <w:color w:val="333333"/>
          <w:sz w:val="22"/>
        </w:rPr>
        <w:t>Dashboard → Notebooks → Planilha Excel → Relatório</w:t>
      </w:r>
    </w:p>
    <w:p>
      <w:pPr>
        <w:spacing w:before="30" w:after="50"/>
        <w:shd w:val="clear" w:color="auto" w:fill="E8F0FE"/>
        <w:ind w:left="360"/>
      </w:pPr>
      <w:r>
        <w:rPr>
          <w:rFonts w:ascii="Calibri" w:hAnsi="Calibri"/>
          <w:b/>
          <w:color w:val="1F5CAB"/>
          <w:sz w:val="20"/>
        </w:rPr>
        <w:t xml:space="preserve">Gabarito: </w:t>
      </w:r>
      <w:r>
        <w:rPr>
          <w:rFonts w:ascii="Calibri" w:hAnsi="Calibri"/>
          <w:b/>
          <w:color w:val="008000"/>
          <w:sz w:val="20"/>
        </w:rPr>
        <w:t>Alternativa (B)</w:t>
      </w:r>
    </w:p>
    <w:p/>
    <w:p>
      <w:pPr>
        <w:spacing w:before="0" w:after="0"/>
        <w:pBdr>
          <w:bottom w:val="single" w:sz="12" w:space="1" w:color="003886"/>
        </w:pBdr>
      </w:pPr>
    </w:p>
    <w:p>
      <w:pPr>
        <w:jc w:val="center"/>
        <w:spacing w:before="120" w:after="60"/>
      </w:pPr>
      <w:r>
        <w:rPr>
          <w:rFonts w:ascii="Calibri" w:hAnsi="Calibri"/>
          <w:b/>
          <w:color w:val="003886"/>
          <w:sz w:val="26"/>
        </w:rPr>
        <w:t>GABARITO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Q01</w:t>
            </w:r>
          </w:p>
        </w:tc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Q02</w:t>
            </w:r>
          </w:p>
        </w:tc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Q03</w:t>
            </w:r>
          </w:p>
        </w:tc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Q04</w:t>
            </w:r>
          </w:p>
        </w:tc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Q05</w:t>
            </w:r>
          </w:p>
        </w:tc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Q06</w:t>
            </w:r>
          </w:p>
        </w:tc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Q07</w:t>
            </w:r>
          </w:p>
        </w:tc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Q08</w:t>
            </w:r>
          </w:p>
        </w:tc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Q09</w:t>
            </w:r>
          </w:p>
        </w:tc>
        <w:tc>
          <w:tcPr>
            <w:tcW w:type="dxa" w:w="941"/>
            <w:shd w:val="clear" w:color="auto" w:fill="00388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Q10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B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C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B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C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B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C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B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B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B</w:t>
            </w:r>
          </w:p>
        </w:tc>
        <w:tc>
          <w:tcPr>
            <w:tcW w:type="dxa" w:w="94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3886"/>
                <w:sz w:val="24"/>
              </w:rPr>
              <w:t>B</w:t>
            </w:r>
          </w:p>
        </w:tc>
      </w:tr>
    </w:tbl>
    <w:p>
      <w:pPr>
        <w:spacing w:before="80" w:after="40"/>
        <w:jc w:val="center"/>
      </w:pPr>
      <w:r>
        <w:rPr>
          <w:rFonts w:ascii="Calibri" w:hAnsi="Calibri"/>
          <w:b/>
          <w:color w:val="003886"/>
          <w:sz w:val="22"/>
        </w:rPr>
        <w:t>Q1=B  |  Q2=C  |  Q3=B  |  Q4=C  |  Q5=B  |  Q6=C  |  Q7=B  |  Q8=B  |  Q9=B  |  Q10=B</w:t>
      </w:r>
    </w:p>
    <w:sectPr w:rsidR="00FC693F" w:rsidRPr="0006063C" w:rsidSect="00034616">
      <w:headerReference w:type="default" r:id="rIdHdr1"/>
      <w:footerReference w:type="default" r:id="rIdFtr1"/>
      <w:pgSz w:w="12240" w:h="15840"/>
      <w:pgMar w:top="2552" w:right="1274" w:bottom="1418" w:left="1560" w:header="709" w:footer="2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5EE9A" w14:textId="77777777" w:rsidR="008A53C8" w:rsidRDefault="008A53C8" w:rsidP="008A53C8">
    <w:pPr>
      <w:tabs>
        <w:tab w:val="center" w:pos="4252"/>
        <w:tab w:val="right" w:pos="8504"/>
      </w:tabs>
      <w:spacing w:line="288" w:lineRule="auto"/>
      <w:ind w:left="-851" w:firstLine="0"/>
      <w:jc w:val="left"/>
      <w:rPr>
        <w:rFonts w:ascii="Arial" w:eastAsia="Calibri" w:hAnsi="Arial" w:cs="Arial"/>
        <w:noProof/>
        <w:color w:val="000000"/>
        <w:sz w:val="18"/>
        <w:szCs w:val="18"/>
      </w:rPr>
    </w:pPr>
  </w:p>
  <w:p w14:paraId="37AF7D43" w14:textId="77777777" w:rsidR="008A53C8" w:rsidRPr="008A53C8" w:rsidRDefault="008A53C8" w:rsidP="008A53C8">
    <w:pPr>
      <w:tabs>
        <w:tab w:val="center" w:pos="4252"/>
        <w:tab w:val="right" w:pos="8504"/>
      </w:tabs>
      <w:spacing w:line="288" w:lineRule="auto"/>
      <w:ind w:left="-851" w:firstLine="0"/>
      <w:jc w:val="center"/>
      <w:rPr>
        <w:rFonts w:ascii="Arial" w:eastAsia="Calibri" w:hAnsi="Arial" w:cs="Arial"/>
        <w:color w:val="000000"/>
        <w:sz w:val="18"/>
        <w:szCs w:val="18"/>
        <w:lang w:eastAsia="en-US"/>
      </w:rPr>
    </w:pPr>
    <w:r w:rsidRPr="008A53C8">
      <w:rPr>
        <w:rFonts w:ascii="Arial" w:eastAsia="Calibri" w:hAnsi="Arial" w:cs="Arial"/>
        <w:noProof/>
        <w:color w:val="000000"/>
        <w:sz w:val="18"/>
        <w:szCs w:val="18"/>
      </w:rPr>
      <w:t>SIG</w:t>
    </w:r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 - Quadra 01 - Lote 495/515 - Bloco A – Salas 321/322 - Ed. Barão do Rio Branco - Brasília/DF CEP: 70.610-410</w:t>
    </w:r>
  </w:p>
  <w:p w14:paraId="62653BCB" w14:textId="77777777" w:rsidR="008A53C8" w:rsidRPr="008A53C8" w:rsidRDefault="008A53C8" w:rsidP="008A53C8">
    <w:pPr>
      <w:tabs>
        <w:tab w:val="center" w:pos="4252"/>
        <w:tab w:val="right" w:pos="8504"/>
      </w:tabs>
      <w:spacing w:line="288" w:lineRule="auto"/>
      <w:ind w:left="-851" w:firstLine="0"/>
      <w:jc w:val="center"/>
      <w:rPr>
        <w:rFonts w:ascii="Arial" w:eastAsia="Calibri" w:hAnsi="Arial" w:cs="Arial"/>
        <w:color w:val="000000"/>
        <w:sz w:val="18"/>
        <w:szCs w:val="18"/>
        <w:lang w:eastAsia="en-US"/>
      </w:rPr>
    </w:pPr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55 (61) 3226-5749| </w:t>
    </w:r>
    <w:hyperlink r:id="rId1" w:history="1">
      <w:r w:rsidRPr="008A53C8">
        <w:rPr>
          <w:rFonts w:ascii="Arial" w:eastAsia="Calibri" w:hAnsi="Arial" w:cs="Arial"/>
          <w:color w:val="000000"/>
          <w:sz w:val="18"/>
          <w:szCs w:val="18"/>
          <w:lang w:eastAsia="en-US"/>
        </w:rPr>
        <w:t>www.abar.org.br</w:t>
      </w:r>
    </w:hyperlink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 | </w:t>
    </w:r>
    <w:hyperlink r:id="rId2" w:history="1">
      <w:r w:rsidRPr="008A53C8">
        <w:rPr>
          <w:rFonts w:ascii="Arial" w:eastAsia="Calibri" w:hAnsi="Arial" w:cs="Arial"/>
          <w:color w:val="000000"/>
          <w:sz w:val="18"/>
          <w:szCs w:val="18"/>
          <w:lang w:eastAsia="en-US"/>
        </w:rPr>
        <w:t>secretaria@abar.org.br</w:t>
      </w:r>
    </w:hyperlink>
    <w:r w:rsidRPr="008A53C8">
      <w:rPr>
        <w:rFonts w:ascii="Arial" w:eastAsia="Calibri" w:hAnsi="Arial" w:cs="Arial"/>
        <w:color w:val="000000"/>
        <w:sz w:val="18"/>
        <w:szCs w:val="18"/>
        <w:lang w:eastAsia="en-US"/>
      </w:rPr>
      <w:t xml:space="preserve"> | CNPJ: 03.657.354/0001-00</w:t>
    </w:r>
  </w:p>
  <w:p w14:paraId="60B3CD62" w14:textId="77777777" w:rsidR="00835572" w:rsidRDefault="00835572">
    <w:pPr>
      <w:pStyle w:val="Rodap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30B81" w14:textId="77777777" w:rsidR="00916682" w:rsidRDefault="00811EF3" w:rsidP="00916682">
    <w:pPr>
      <w:autoSpaceDE w:val="0"/>
      <w:autoSpaceDN w:val="0"/>
      <w:adjustRightInd w:val="0"/>
      <w:spacing w:line="240" w:lineRule="auto"/>
      <w:ind w:firstLine="0"/>
      <w:jc w:val="left"/>
      <w:rPr>
        <w:rFonts w:ascii="Calibri" w:eastAsia="Calibri" w:hAnsi="Calibri" w:cs="Calibri"/>
        <w:sz w:val="32"/>
        <w:szCs w:val="32"/>
        <w:lang w:eastAsia="en-US"/>
      </w:rPr>
    </w:pPr>
    <w:r>
      <w:rPr>
        <w:rFonts w:cs="Calibri"/>
        <w:noProof/>
        <w:sz w:val="32"/>
        <w:szCs w:val="32"/>
      </w:rPr>
      <w:drawing>
        <wp:anchor distT="0" distB="0" distL="114300" distR="114300" simplePos="0" relativeHeight="251657728" behindDoc="0" locked="0" layoutInCell="1" allowOverlap="1" wp14:anchorId="4212A5A5" wp14:editId="60698E4B">
          <wp:simplePos x="0" y="0"/>
          <wp:positionH relativeFrom="column">
            <wp:posOffset>-60960</wp:posOffset>
          </wp:positionH>
          <wp:positionV relativeFrom="paragraph">
            <wp:posOffset>-59689</wp:posOffset>
          </wp:positionV>
          <wp:extent cx="1609725" cy="914400"/>
          <wp:effectExtent l="0" t="0" r="9525" b="0"/>
          <wp:wrapNone/>
          <wp:docPr id="11" name="Imagem 11" descr="Associação Brasileira de Agências Reguladora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Associação Brasileira de Agências Reguladoras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9D3904" w14:textId="77777777" w:rsidR="00916682" w:rsidRDefault="00916682" w:rsidP="00916682">
    <w:pPr>
      <w:autoSpaceDE w:val="0"/>
      <w:autoSpaceDN w:val="0"/>
      <w:adjustRightInd w:val="0"/>
      <w:spacing w:line="240" w:lineRule="auto"/>
      <w:ind w:firstLine="0"/>
      <w:jc w:val="left"/>
      <w:rPr>
        <w:rFonts w:ascii="Calibri" w:eastAsia="Calibri" w:hAnsi="Calibri" w:cs="Calibri"/>
        <w:sz w:val="32"/>
        <w:szCs w:val="32"/>
        <w:lang w:eastAsia="en-US"/>
      </w:rPr>
    </w:pPr>
  </w:p>
  <w:p w14:paraId="14A1308A" w14:textId="77777777" w:rsidR="00F477D2" w:rsidRDefault="00F477D2" w:rsidP="004844BD">
    <w:pPr>
      <w:autoSpaceDE w:val="0"/>
      <w:autoSpaceDN w:val="0"/>
      <w:adjustRightInd w:val="0"/>
      <w:spacing w:line="240" w:lineRule="auto"/>
      <w:ind w:firstLine="0"/>
      <w:jc w:val="center"/>
      <w:rPr>
        <w:rFonts w:ascii="Calibri" w:eastAsia="Calibri" w:hAnsi="Calibri" w:cs="Calibri"/>
        <w:sz w:val="32"/>
        <w:szCs w:val="32"/>
        <w:lang w:eastAsia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dr1" Type="http://schemas.openxmlformats.org/officeDocument/2006/relationships/header" Target="header1.xml"/><Relationship Id="rIdFtr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ecretaria@abar.org.br" TargetMode="External"/><Relationship Id="rId1" Type="http://schemas.openxmlformats.org/officeDocument/2006/relationships/hyperlink" Target="http://www.abar.org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