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Atendimento</w:t>
      </w:r>
    </w:p>
    <w:p>
      <w:r>
        <w:t>O prazo para resposta é de 30 dias. O recurso suspende esse prazo, mas não garante a aprovação.</w:t>
      </w:r>
    </w:p>
    <w:p>
      <w:r>
        <w:t>Foram recebidas 60 solicitações: 24 do grupo A e 36 do grupo B. A contagem é descritiva e não demonstra a causa da diferença.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Solicitações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1584000"/>
            <wp:docPr id="1" name="Picture 1" descr="Grupo A: 24 solicitações. Grupo B: 36 solicitações. Barras com rótulos e val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8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