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Capacitação</w:t>
      </w:r>
    </w:p>
    <w:p>
      <w:r>
        <w:t>A oficina oferece 20 vagas e exige inscrição até 15 de outubro. A participação é gratuita, exceto o transporte.</w:t>
      </w:r>
    </w:p>
    <w:p>
      <w:r>
        <w:t>O resultado preliminar indica 80% de conclusão entre 10 participantes. Esse resultado não pode ser generalizado para toda a turma.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Solicitações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1584000"/>
            <wp:docPr id="1" name="Picture 1" descr="Grupo A: 24 solicitações. Grupo B: 36 solicitações. Barras com rótulos e val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