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112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Fractura del cuerpo, fractura del alma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289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Como avanzar si no hacemos nada. Aun asi progreso. Si aun asi se avanza.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-70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Lesiono mi mano, Medico mediante, curo y reparo. La mano dolida permanecera en ese estado. Pues no. Aunque no haga nada, ella se cura. ¿Que la cura? Nuestro cuerpo se ocupa. Si tenemos minimos recaudos, se curara perfecto o con secuelas. Asi tambien en nuestro sentir dañado. Si hacemos lo correcto se curara bien. De lo contrario tambien sanara. Tendra mas o menos secuelas. En nuestra reaccion esta la diferencia. Mejor hacer bien, pero de lo contrario tambien sanara. Su funcionalidad, mano o sentimiento, sera con secuelas o sin ellas. Pero se curara.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-729.5999999999999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13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