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load ('ex5data1.mat');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COMPROBACIÓN DEL COSTE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m = rows(X);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theta = [1 ;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J = costeRegularizado(theta,[ones(m, 1) X], y,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 303.99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COMPROBACIÓN DEL GRADIENTE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[J, grad] = costeRegularizado(theta,[ones(m, 1) X], y,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 303.99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grad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-15.303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598.251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ENTRENAMIENTO DE LA REGRESIÓN LINEAL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pintarEntrenamientoRegLin(X,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poner imagen1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CURVA DE APRENDIZAJE REGRESIÓN LINEAL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pintarCurvaAprendizajeRegLineal(X, y, Xval, yval,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poner imagen2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GRAFICA REGRESIÓN POLINÓMICA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pintarRegPolinomica(X, y,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poner imagen3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CURVA DE APRENDIZAJE REGRESIÓN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pintarCurvaAprendizajeRegresionPolinomial(X, y, Xval, yval, 0,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poner imagen4 (lambda 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pintarCurvaAprendizajeRegresionPolinomial(X, y, Xval, yval, 1,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poner imagen5 (lambda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pintarCurvaAprendizajeRegresionPolinomial(X, y, Xval, yval, 100,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poner imagen6 (lambda = 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SELECCIÓN DEL PARÁMETRO LAMBDA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pintarErrorLambda(X, y, Xval, yval,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poner imagen7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ESTIMACIÓN DEL ERROR DE LA HIPOTESIS PARA LAMBDA = 3 sobre conjunto de datos Xtest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e = errorHipotesis(X, y, Xtest, ytest,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 3.8599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