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ptos" w:cs="Aptos" w:eastAsia="Aptos" w:hAnsi="Aptos"/>
          <w:b/>
          <w:bCs/>
          <w:color w:val="B48700"/>
          <w:spacing w:val="40"/>
          <w:sz w:val="18"/>
          <w:szCs w:val="18"/>
        </w:rPr>
        <w:t xml:space="preserve">TEAM INTERNATIONAL · SOLUTIONS WEBSITE</w:t>
      </w:r>
    </w:p>
    <w:p>
      <w:pPr>
        <w:spacing w:after="240"/>
      </w:pPr>
      <w:r>
        <w:rPr>
          <w:rFonts w:ascii="Aptos" w:cs="Aptos" w:eastAsia="Aptos" w:hAnsi="Aptos"/>
          <w:b/>
          <w:bCs/>
          <w:color w:val="2F282D"/>
          <w:sz w:val="52"/>
          <w:szCs w:val="52"/>
        </w:rPr>
        <w:t xml:space="preserve">Data Readiness</w:t>
      </w:r>
    </w:p>
    <w:p>
      <w:pPr>
        <w:pBdr>
          <w:bottom w:val="single" w:color="FDBE00" w:sz="18" w:space="12"/>
        </w:pBdr>
        <w:spacing w:after="480"/>
      </w:pPr>
      <w:r>
        <w:rPr>
          <w:rFonts w:ascii="Aptos" w:cs="Aptos" w:eastAsia="Aptos" w:hAnsi="Aptos"/>
          <w:color w:val="756B72"/>
          <w:sz w:val="28"/>
          <w:szCs w:val="28"/>
        </w:rPr>
        <w:t xml:space="preserve">Strategy, value proposition, SEO keyword plan and GEO/AEO playbook for the solution landing page</w:t>
      </w:r>
    </w:p>
    <w:p>
      <w:pPr>
        <w:spacing w:after="140" w:line="288"/>
      </w:pPr>
      <w:r>
        <w:rPr>
          <w:rFonts w:ascii="Aptos" w:cs="Aptos" w:eastAsia="Aptos" w:hAnsi="Aptos"/>
          <w:b/>
          <w:bCs/>
          <w:color w:val="2F282D"/>
          <w:sz w:val="21"/>
          <w:szCs w:val="21"/>
        </w:rPr>
        <w:t xml:space="preserve">Prepared for: </w:t>
      </w:r>
      <w:r>
        <w:rPr>
          <w:rFonts w:ascii="Aptos" w:cs="Aptos" w:eastAsia="Aptos" w:hAnsi="Aptos"/>
          <w:color w:val="2F282D"/>
          <w:sz w:val="21"/>
          <w:szCs w:val="21"/>
        </w:rPr>
        <w:t xml:space="preserve">Raul Ramirez, TEAM International</w:t>
      </w:r>
    </w:p>
    <w:p>
      <w:pPr>
        <w:spacing w:after="140" w:line="288"/>
      </w:pPr>
      <w:r>
        <w:rPr>
          <w:rFonts w:ascii="Aptos" w:cs="Aptos" w:eastAsia="Aptos" w:hAnsi="Aptos"/>
          <w:b/>
          <w:bCs/>
          <w:color w:val="2F282D"/>
          <w:sz w:val="21"/>
          <w:szCs w:val="21"/>
        </w:rPr>
        <w:t xml:space="preserve">Date: </w:t>
      </w:r>
      <w:r>
        <w:rPr>
          <w:rFonts w:ascii="Aptos" w:cs="Aptos" w:eastAsia="Aptos" w:hAnsi="Aptos"/>
          <w:color w:val="2F282D"/>
          <w:sz w:val="21"/>
          <w:szCs w:val="21"/>
        </w:rPr>
        <w:t xml:space="preserve">October 15, 2026</w:t>
      </w:r>
    </w:p>
    <w:p>
      <w:pPr>
        <w:spacing w:after="140" w:line="288"/>
      </w:pPr>
      <w:r>
        <w:rPr>
          <w:rFonts w:ascii="Aptos" w:cs="Aptos" w:eastAsia="Aptos" w:hAnsi="Aptos"/>
          <w:b/>
          <w:bCs/>
          <w:color w:val="2F282D"/>
          <w:sz w:val="21"/>
          <w:szCs w:val="21"/>
        </w:rPr>
        <w:t xml:space="preserve">Keyword data: </w:t>
      </w:r>
      <w:r>
        <w:rPr>
          <w:rFonts w:ascii="Aptos" w:cs="Aptos" w:eastAsia="Aptos" w:hAnsi="Aptos"/>
          <w:color w:val="2F282D"/>
          <w:sz w:val="21"/>
          <w:szCs w:val="21"/>
        </w:rPr>
        <w:t xml:space="preserve">Semrush US, UK and DE databases, pulled October 15, 2026</w:t>
      </w:r>
    </w:p>
    <w:p>
      <w:pPr>
        <w:spacing w:after="140" w:line="288"/>
      </w:pPr>
      <w:r>
        <w:rPr>
          <w:rFonts w:ascii="Aptos" w:cs="Aptos" w:eastAsia="Aptos" w:hAnsi="Aptos"/>
          <w:b/>
          <w:bCs/>
          <w:color w:val="2F282D"/>
          <w:sz w:val="21"/>
          <w:szCs w:val="21"/>
        </w:rPr>
        <w:t xml:space="preserve">Planned page: </w:t>
      </w:r>
      <w:r>
        <w:rPr>
          <w:rFonts w:ascii="Aptos" w:cs="Aptos" w:eastAsia="Aptos" w:hAnsi="Aptos"/>
          <w:color w:val="2F282D"/>
          <w:sz w:val="21"/>
          <w:szCs w:val="21"/>
        </w:rPr>
        <w:t xml:space="preserve">team-solutions-site, route /solutions/data-readiness</w:t>
      </w:r>
    </w:p>
    <w:p>
      <w:r>
        <w:br w:type="page"/>
      </w:r>
    </w:p>
    <w:p>
      <w:pPr>
        <w:spacing w:after="200"/>
      </w:pPr>
      <w:r>
        <w:rPr>
          <w:rFonts w:ascii="Aptos" w:cs="Aptos" w:eastAsia="Aptos" w:hAnsi="Aptos"/>
          <w:b/>
          <w:bCs/>
          <w:color w:val="2F282D"/>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DBE00" w:sz="12" w:space="4"/>
        </w:pBdr>
      </w:pPr>
      <w:r>
        <w:t xml:space="preserve">1. Executive summary</w:t>
      </w:r>
    </w:p>
    <w:p>
      <w:pPr>
        <w:spacing w:after="140" w:line="288"/>
      </w:pPr>
      <w:r>
        <w:rPr>
          <w:rFonts w:ascii="Aptos" w:cs="Aptos" w:eastAsia="Aptos" w:hAnsi="Aptos"/>
          <w:color w:val="2F282D"/>
          <w:sz w:val="21"/>
          <w:szCs w:val="21"/>
        </w:rPr>
        <w:t xml:space="preserve">The page positions TEAM International as the partner that makes enterprise data ready for analytics and AI: it measures readiness first, fixes what blocks priority use cases, and delivers value in weeks through a Fast Track platform while the data foundation is built.</w:t>
      </w:r>
    </w:p>
    <w:p>
      <w:pPr>
        <w:pStyle w:val="ListParagraph"/>
        <w:numPr>
          <w:ilvl w:val="0"/>
          <w:numId w:val="2"/>
        </w:numPr>
        <w:spacing w:after="80" w:line="276"/>
      </w:pPr>
      <w:r>
        <w:rPr>
          <w:rFonts w:ascii="Aptos" w:cs="Aptos" w:eastAsia="Aptos" w:hAnsi="Aptos"/>
          <w:b/>
          <w:bCs/>
          <w:color w:val="2F282D"/>
          <w:sz w:val="21"/>
          <w:szCs w:val="21"/>
        </w:rPr>
        <w:t xml:space="preserve">Who it targets:</w:t>
      </w:r>
      <w:r>
        <w:rPr>
          <w:rFonts w:ascii="Aptos" w:cs="Aptos" w:eastAsia="Aptos" w:hAnsi="Aptos"/>
          <w:color w:val="2F282D"/>
          <w:sz w:val="21"/>
          <w:szCs w:val="21"/>
        </w:rPr>
        <w:t xml:space="preserve"> mid-size and enterprise companies in North America and Europe whose AI and analytics plans are stalled by data quality, silos or unclear governance.</w:t>
      </w:r>
    </w:p>
    <w:p>
      <w:pPr>
        <w:pStyle w:val="ListParagraph"/>
        <w:numPr>
          <w:ilvl w:val="0"/>
          <w:numId w:val="2"/>
        </w:numPr>
        <w:spacing w:after="80" w:line="276"/>
      </w:pPr>
      <w:r>
        <w:rPr>
          <w:rFonts w:ascii="Aptos" w:cs="Aptos" w:eastAsia="Aptos" w:hAnsi="Aptos"/>
          <w:b/>
          <w:bCs/>
          <w:color w:val="2F282D"/>
          <w:sz w:val="21"/>
          <w:szCs w:val="21"/>
        </w:rPr>
        <w:t xml:space="preserve">Core message:</w:t>
      </w:r>
      <w:r>
        <w:rPr>
          <w:rFonts w:ascii="Aptos" w:cs="Aptos" w:eastAsia="Aptos" w:hAnsi="Aptos"/>
          <w:color w:val="2F282D"/>
          <w:sz w:val="21"/>
          <w:szCs w:val="21"/>
        </w:rPr>
        <w:t xml:space="preserve"> "Two speeds, one data strategy." Get answers from your data now (Fast Track: natural language query and no-code AI agents) and build a governed, AI-ready data foundation for scale.</w:t>
      </w:r>
    </w:p>
    <w:p>
      <w:pPr>
        <w:pStyle w:val="ListParagraph"/>
        <w:numPr>
          <w:ilvl w:val="0"/>
          <w:numId w:val="2"/>
        </w:numPr>
        <w:spacing w:after="80" w:line="276"/>
      </w:pPr>
      <w:r>
        <w:rPr>
          <w:rFonts w:ascii="Aptos" w:cs="Aptos" w:eastAsia="Aptos" w:hAnsi="Aptos"/>
          <w:b/>
          <w:bCs/>
          <w:color w:val="2F282D"/>
          <w:sz w:val="21"/>
          <w:szCs w:val="21"/>
        </w:rPr>
        <w:t xml:space="preserve">Entry offer:</w:t>
      </w:r>
      <w:r>
        <w:rPr>
          <w:rFonts w:ascii="Aptos" w:cs="Aptos" w:eastAsia="Aptos" w:hAnsi="Aptos"/>
          <w:color w:val="2F282D"/>
          <w:sz w:val="21"/>
          <w:szCs w:val="21"/>
        </w:rPr>
        <w:t xml:space="preserve"> a 3–4 week Data Readiness Assessment that produces a Data Readiness Scorecard and a remediation and modernization roadmap.</w:t>
      </w:r>
    </w:p>
    <w:p>
      <w:pPr>
        <w:pStyle w:val="ListParagraph"/>
        <w:numPr>
          <w:ilvl w:val="0"/>
          <w:numId w:val="2"/>
        </w:numPr>
        <w:spacing w:after="80" w:line="276"/>
      </w:pPr>
      <w:r>
        <w:rPr>
          <w:rFonts w:ascii="Aptos" w:cs="Aptos" w:eastAsia="Aptos" w:hAnsi="Aptos"/>
          <w:b/>
          <w:bCs/>
          <w:color w:val="2F282D"/>
          <w:sz w:val="21"/>
          <w:szCs w:val="21"/>
        </w:rPr>
        <w:t xml:space="preserve">SEO approach:</w:t>
      </w:r>
      <w:r>
        <w:rPr>
          <w:rFonts w:ascii="Aptos" w:cs="Aptos" w:eastAsia="Aptos" w:hAnsi="Aptos"/>
          <w:color w:val="2F282D"/>
          <w:sz w:val="21"/>
          <w:szCs w:val="21"/>
        </w:rPr>
        <w:t xml:space="preserve"> "data readiness" as the page topic, with two commercial primaries that are unusually easy for their value: "data governance consulting" (1,000 US searches/month, KD 9, CPC $67.72) and "data modernization services" (720/month, KD 12). With secondaries, the page targets about 12,000 US searches a month at KD 9–29.</w:t>
      </w:r>
    </w:p>
    <w:p>
      <w:pPr>
        <w:pStyle w:val="ListParagraph"/>
        <w:numPr>
          <w:ilvl w:val="0"/>
          <w:numId w:val="2"/>
        </w:numPr>
        <w:spacing w:after="80" w:line="276"/>
      </w:pPr>
      <w:r>
        <w:rPr>
          <w:rFonts w:ascii="Aptos" w:cs="Aptos" w:eastAsia="Aptos" w:hAnsi="Aptos"/>
          <w:b/>
          <w:bCs/>
          <w:color w:val="2F282D"/>
          <w:sz w:val="21"/>
          <w:szCs w:val="21"/>
        </w:rPr>
        <w:t xml:space="preserve">Why not the broad data keywords:</w:t>
      </w:r>
      <w:r>
        <w:rPr>
          <w:rFonts w:ascii="Aptos" w:cs="Aptos" w:eastAsia="Aptos" w:hAnsi="Aptos"/>
          <w:color w:val="2F282D"/>
          <w:sz w:val="21"/>
          <w:szCs w:val="21"/>
        </w:rPr>
        <w:t xml:space="preserve"> terms like data governance framework, data catalog, semantic layer and AI agent builder are either informational, owned by software vendors, or hard (KD 40–55).</w:t>
      </w:r>
    </w:p>
    <w:p>
      <w:pPr>
        <w:pStyle w:val="ListParagraph"/>
        <w:numPr>
          <w:ilvl w:val="0"/>
          <w:numId w:val="2"/>
        </w:numPr>
        <w:spacing w:after="80" w:line="276"/>
      </w:pPr>
      <w:r>
        <w:rPr>
          <w:rFonts w:ascii="Aptos" w:cs="Aptos" w:eastAsia="Aptos" w:hAnsi="Aptos"/>
          <w:b/>
          <w:bCs/>
          <w:color w:val="2F282D"/>
          <w:sz w:val="21"/>
          <w:szCs w:val="21"/>
        </w:rPr>
        <w:t xml:space="preserve">Expected result:</w:t>
      </w:r>
      <w:r>
        <w:rPr>
          <w:rFonts w:ascii="Aptos" w:cs="Aptos" w:eastAsia="Aptos" w:hAnsi="Aptos"/>
          <w:color w:val="2F282D"/>
          <w:sz w:val="21"/>
          <w:szCs w:val="21"/>
        </w:rPr>
        <w:t xml:space="preserve"> about 400–700 organic visits a month to this page within 6–12 months (US only), from high-intent B2B searches.</w:t>
      </w:r>
    </w:p>
    <w:p>
      <w:pPr>
        <w:pStyle w:val="Heading1"/>
        <w:pBdr>
          <w:bottom w:val="single" w:color="FDBE00" w:sz="12" w:space="4"/>
        </w:pBdr>
      </w:pPr>
      <w:r>
        <w:t xml:space="preserve">2. Why data readiness matters now</w:t>
      </w:r>
    </w:p>
    <w:p>
      <w:pPr>
        <w:spacing w:after="140" w:line="288"/>
      </w:pPr>
      <w:r>
        <w:rPr>
          <w:rFonts w:ascii="Aptos" w:cs="Aptos" w:eastAsia="Aptos" w:hAnsi="Aptos"/>
          <w:color w:val="2F282D"/>
          <w:sz w:val="21"/>
          <w:szCs w:val="21"/>
        </w:rPr>
        <w:t xml:space="preserve">AI ambitions are running into data reality. The evidence points to a gap between how ready companies think their data is and what actually blocks their AI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60"/>
        <w:gridCol w:w="3300"/>
      </w:tblGrid>
      <w:tr>
        <w:trPr>
          <w:tblHeader/>
        </w:trPr>
        <w:tc>
          <w:tcPr>
            <w:tcW w:type="dxa" w:w="21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Finding</w:t>
            </w:r>
          </w:p>
        </w:tc>
        <w:tc>
          <w:tcPr>
            <w:tcW w:type="dxa" w:w="3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Evidence</w:t>
            </w:r>
          </w:p>
        </w:tc>
        <w:tc>
          <w:tcPr>
            <w:tcW w:type="dxa" w:w="3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it means for TEAM</w:t>
            </w:r>
          </w:p>
        </w:tc>
      </w:tr>
      <w:tr>
        <w:trPr>
          <w:cantSplit/>
        </w:trPr>
        <w:tc>
          <w:tcPr>
            <w:tcW w:type="dxa" w:w="2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projects fail on data</w:t>
            </w:r>
          </w:p>
        </w:tc>
        <w:tc>
          <w:tcPr>
            <w:tcW w:type="dxa" w:w="3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Gartner predicts organizations will abandon 60% of AI projects unsupported by AI-ready data through 2026 (Feb 2025).</w:t>
            </w:r>
          </w:p>
        </w:tc>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Data readiness is the gating factor for every AI initiative, which makes it an urgent, budgeted need.</w:t>
            </w:r>
          </w:p>
        </w:tc>
      </w:tr>
      <w:tr>
        <w:trPr>
          <w:cantSplit/>
        </w:trPr>
        <w:tc>
          <w:tcPr>
            <w:tcW w:type="dxa" w:w="2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Most lack the practices</w:t>
            </w:r>
          </w:p>
        </w:tc>
        <w:tc>
          <w:tcPr>
            <w:tcW w:type="dxa" w:w="3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63% of organizations do not have, or are unsure if they have, the right data management practices for AI (Gartner).</w:t>
            </w:r>
          </w:p>
        </w:tc>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 large market needs a structured way to find and close gaps: the assessment.</w:t>
            </w:r>
          </w:p>
        </w:tc>
      </w:tr>
      <w:tr>
        <w:trPr>
          <w:cantSplit/>
        </w:trPr>
        <w:tc>
          <w:tcPr>
            <w:tcW w:type="dxa" w:w="2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Confidence outruns reality</w:t>
            </w:r>
          </w:p>
        </w:tc>
        <w:tc>
          <w:tcPr>
            <w:tcW w:type="dxa" w:w="3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88% of data leaders say their data is ready for AI, yet 43% name data readiness as the biggest barrier to aligning AI with business goals (Precisely and Drexel LeBow, 2026).</w:t>
            </w:r>
          </w:p>
        </w:tc>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 objective scorecard is valuable because self-assessment is unreliable.</w:t>
            </w:r>
          </w:p>
        </w:tc>
      </w:tr>
      <w:tr>
        <w:trPr>
          <w:cantSplit/>
        </w:trPr>
        <w:tc>
          <w:tcPr>
            <w:tcW w:type="dxa" w:w="2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Governance builds trust</w:t>
            </w:r>
          </w:p>
        </w:tc>
        <w:tc>
          <w:tcPr>
            <w:tcW w:type="dxa" w:w="3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71% of organizations with data governance report high trust in their data, versus 50% without it; 48% have no program to govern data used for AI (Precisely and Drexel LeBow, 2026).</w:t>
            </w:r>
          </w:p>
        </w:tc>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Governance for AI is an open gap TEAM can fill.</w:t>
            </w:r>
          </w:p>
        </w:tc>
      </w:tr>
      <w:tr>
        <w:trPr>
          <w:cantSplit/>
        </w:trPr>
        <w:tc>
          <w:tcPr>
            <w:tcW w:type="dxa" w:w="2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AI-ready data is ongoing</w:t>
            </w:r>
          </w:p>
        </w:tc>
        <w:tc>
          <w:tcPr>
            <w:tcW w:type="dxa" w:w="3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Gartner: "AI-ready data is not one and done." It needs active metadata, pipelines for training and production, and continuous monitoring.</w:t>
            </w:r>
          </w:p>
        </w:tc>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Supports a phased engagement model, from assessment through data products and monitoring.</w:t>
            </w:r>
          </w:p>
        </w:tc>
      </w:tr>
    </w:tbl>
    <w:p>
      <w:pPr>
        <w:spacing w:after="120"/>
      </w:pPr>
    </w:p>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Implication: </w:t>
      </w:r>
      <w:r>
        <w:rPr>
          <w:rFonts w:ascii="Aptos" w:cs="Aptos" w:eastAsia="Aptos" w:hAnsi="Aptos"/>
          <w:color w:val="2F282D"/>
          <w:sz w:val="21"/>
          <w:szCs w:val="21"/>
        </w:rPr>
        <w:t xml:space="preserve">Buyers don't need another strategy deck or another tool license. They need to know, with facts, how ready their data is for specific use cases, a prioritized plan to fix it, and some value along the way so the business keeps funding the work.</w:t>
      </w:r>
    </w:p>
    <w:p>
      <w:pPr>
        <w:pStyle w:val="Heading1"/>
        <w:pBdr>
          <w:bottom w:val="single" w:color="FDBE00" w:sz="12" w:space="4"/>
        </w:pBdr>
      </w:pPr>
      <w:r>
        <w:t xml:space="preserve">3. Value proposition</w:t>
      </w:r>
    </w:p>
    <w:p>
      <w:pPr>
        <w:pStyle w:val="Heading2"/>
      </w:pPr>
      <w:r>
        <w:t xml:space="preserve">Core statement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makes enterprise data trustworthy and AI-ready for mid-size and enterprise companies in North America and Europe. We measure your data readiness, fix what blocks your priority analytics and AI use cases, and let your teams get answers from enterprise data in plain language while the governed foundation is built.</w:t>
      </w:r>
    </w:p>
    <w:p>
      <w:pPr>
        <w:spacing w:after="140" w:line="288"/>
      </w:pPr>
      <w:r>
        <w:rPr>
          <w:rFonts w:ascii="Aptos" w:cs="Aptos" w:eastAsia="Aptos" w:hAnsi="Aptos"/>
          <w:b/>
          <w:bCs/>
          <w:color w:val="2F282D"/>
          <w:sz w:val="21"/>
          <w:szCs w:val="21"/>
        </w:rPr>
        <w:t xml:space="preserve">Tagline: </w:t>
      </w:r>
      <w:r>
        <w:rPr>
          <w:rFonts w:ascii="Aptos" w:cs="Aptos" w:eastAsia="Aptos" w:hAnsi="Aptos"/>
          <w:color w:val="2F282D"/>
          <w:sz w:val="21"/>
          <w:szCs w:val="21"/>
        </w:rPr>
        <w:t xml:space="preserve">AI-ready data, at two speeds: answers now, a foundation for scale.</w:t>
      </w:r>
    </w:p>
    <w:p>
      <w:pPr>
        <w:pStyle w:val="Heading2"/>
      </w:pPr>
      <w:r>
        <w:t xml:space="preserve">Four pillars</w:t>
      </w:r>
    </w:p>
    <w:p>
      <w:pPr>
        <w:pStyle w:val="ListParagraph"/>
        <w:numPr>
          <w:ilvl w:val="0"/>
          <w:numId w:val="3"/>
        </w:numPr>
        <w:spacing w:after="80" w:line="276"/>
      </w:pPr>
      <w:r>
        <w:rPr>
          <w:rFonts w:ascii="Aptos" w:cs="Aptos" w:eastAsia="Aptos" w:hAnsi="Aptos"/>
          <w:b/>
          <w:bCs/>
          <w:color w:val="2F282D"/>
          <w:sz w:val="21"/>
          <w:szCs w:val="21"/>
        </w:rPr>
        <w:t xml:space="preserve">Assessment first.</w:t>
      </w:r>
      <w:r>
        <w:rPr>
          <w:rFonts w:ascii="Aptos" w:cs="Aptos" w:eastAsia="Aptos" w:hAnsi="Aptos"/>
          <w:color w:val="2F282D"/>
          <w:sz w:val="21"/>
          <w:szCs w:val="21"/>
        </w:rPr>
        <w:t xml:space="preserve"> A Data Readiness Scorecard and a remediation and modernization roadmap before any large investment, so budget follows facts.</w:t>
      </w:r>
    </w:p>
    <w:p>
      <w:pPr>
        <w:pStyle w:val="ListParagraph"/>
        <w:numPr>
          <w:ilvl w:val="0"/>
          <w:numId w:val="3"/>
        </w:numPr>
        <w:spacing w:after="80" w:line="276"/>
      </w:pPr>
      <w:r>
        <w:rPr>
          <w:rFonts w:ascii="Aptos" w:cs="Aptos" w:eastAsia="Aptos" w:hAnsi="Aptos"/>
          <w:b/>
          <w:bCs/>
          <w:color w:val="2F282D"/>
          <w:sz w:val="21"/>
          <w:szCs w:val="21"/>
        </w:rPr>
        <w:t xml:space="preserve">Two speeds.</w:t>
      </w:r>
      <w:r>
        <w:rPr>
          <w:rFonts w:ascii="Aptos" w:cs="Aptos" w:eastAsia="Aptos" w:hAnsi="Aptos"/>
          <w:color w:val="2F282D"/>
          <w:sz w:val="21"/>
          <w:szCs w:val="21"/>
        </w:rPr>
        <w:t xml:space="preserve"> The Fast Track platform option delivers natural language query and no-code AI agents in weeks, while the foundation workstreams continue.</w:t>
      </w:r>
    </w:p>
    <w:p>
      <w:pPr>
        <w:pStyle w:val="ListParagraph"/>
        <w:numPr>
          <w:ilvl w:val="0"/>
          <w:numId w:val="3"/>
        </w:numPr>
        <w:spacing w:after="80" w:line="276"/>
      </w:pPr>
      <w:r>
        <w:rPr>
          <w:rFonts w:ascii="Aptos" w:cs="Aptos" w:eastAsia="Aptos" w:hAnsi="Aptos"/>
          <w:b/>
          <w:bCs/>
          <w:color w:val="2F282D"/>
          <w:sz w:val="21"/>
          <w:szCs w:val="21"/>
        </w:rPr>
        <w:t xml:space="preserve">End-to-end foundation.</w:t>
      </w:r>
      <w:r>
        <w:rPr>
          <w:rFonts w:ascii="Aptos" w:cs="Aptos" w:eastAsia="Aptos" w:hAnsi="Aptos"/>
          <w:color w:val="2F282D"/>
          <w:sz w:val="21"/>
          <w:szCs w:val="21"/>
        </w:rPr>
        <w:t xml:space="preserve"> Quality and harmonization, integration and modernization, governance and trust, and AI-ready data products under one accountable team.</w:t>
      </w:r>
    </w:p>
    <w:p>
      <w:pPr>
        <w:pStyle w:val="ListParagraph"/>
        <w:numPr>
          <w:ilvl w:val="0"/>
          <w:numId w:val="3"/>
        </w:numPr>
        <w:spacing w:after="80" w:line="276"/>
      </w:pPr>
      <w:r>
        <w:rPr>
          <w:rFonts w:ascii="Aptos" w:cs="Aptos" w:eastAsia="Aptos" w:hAnsi="Aptos"/>
          <w:b/>
          <w:bCs/>
          <w:color w:val="2F282D"/>
          <w:sz w:val="21"/>
          <w:szCs w:val="21"/>
        </w:rPr>
        <w:t xml:space="preserve">Sized for mid-size companies.</w:t>
      </w:r>
      <w:r>
        <w:rPr>
          <w:rFonts w:ascii="Aptos" w:cs="Aptos" w:eastAsia="Aptos" w:hAnsi="Aptos"/>
          <w:color w:val="2F282D"/>
          <w:sz w:val="21"/>
          <w:szCs w:val="21"/>
        </w:rPr>
        <w:t xml:space="preserve"> Senior nearshore teams in your time zone (Medellín for North America, Ukraine for Europe) and 20+ years of enterprise engineering.</w:t>
      </w:r>
    </w:p>
    <w:p>
      <w:pPr>
        <w:pStyle w:val="Heading2"/>
      </w:pPr>
      <w:r>
        <w:t xml:space="preserve">The six workstreams and their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860"/>
        <w:gridCol w:w="2400"/>
      </w:tblGrid>
      <w:tr>
        <w:trPr>
          <w:tblHeader/>
        </w:trPr>
        <w:tc>
          <w:tcPr>
            <w:tcW w:type="dxa" w:w="21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Workstream</w:t>
            </w:r>
          </w:p>
        </w:tc>
        <w:tc>
          <w:tcPr>
            <w:tcW w:type="dxa" w:w="48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we do</w:t>
            </w:r>
          </w:p>
        </w:tc>
        <w:tc>
          <w:tcPr>
            <w:tcW w:type="dxa" w:w="2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Outcome</w:t>
            </w:r>
          </w:p>
        </w:tc>
      </w:tr>
      <w:tr>
        <w:trPr>
          <w:cantSplit/>
        </w:trPr>
        <w:tc>
          <w:tcPr>
            <w:tcW w:type="dxa" w:w="2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Discovery &amp; assessment</w:t>
            </w:r>
          </w:p>
        </w:tc>
        <w:tc>
          <w:tcPr>
            <w:tcW w:type="dxa" w:w="48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Data strategy consulting that starts with facts: a data readiness assessment across quality, integration, governance, security and AI fit, delivered as a Data Readiness Scorecard and a remediation and modernization roadmap.</w:t>
            </w:r>
          </w:p>
        </w:tc>
        <w:tc>
          <w:tcPr>
            <w:tcW w:type="dxa" w:w="2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Data Readiness Scorecard and roadmap</w:t>
            </w:r>
          </w:p>
        </w:tc>
      </w:tr>
      <w:tr>
        <w:trPr>
          <w:cantSplit/>
        </w:trPr>
        <w:tc>
          <w:tcPr>
            <w:tcW w:type="dxa" w:w="2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Quality &amp; harmonization</w:t>
            </w:r>
          </w:p>
        </w:tc>
        <w:tc>
          <w:tcPr>
            <w:tcW w:type="dxa" w:w="48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Data quality consulting and data cleansing services: profiling, deduplication, master data and common definitions, so every system describes customers, products and transactions the same way.</w:t>
            </w:r>
          </w:p>
        </w:tc>
        <w:tc>
          <w:tcPr>
            <w:tcW w:type="dxa" w:w="2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Trusted, standardized data</w:t>
            </w:r>
          </w:p>
        </w:tc>
      </w:tr>
      <w:tr>
        <w:trPr>
          <w:cantSplit/>
        </w:trPr>
        <w:tc>
          <w:tcPr>
            <w:tcW w:type="dxa" w:w="2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Integration &amp; modernization</w:t>
            </w:r>
          </w:p>
        </w:tc>
        <w:tc>
          <w:tcPr>
            <w:tcW w:type="dxa" w:w="48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Enterprise data integration, data engineering services and data platform modernization on Microsoft Azure or AWS: pipelines, APIs and a cloud data platform that replace silos and brittle legacy warehouses.</w:t>
            </w:r>
          </w:p>
        </w:tc>
        <w:tc>
          <w:tcPr>
            <w:tcW w:type="dxa" w:w="2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 integrated enterprise data foundation</w:t>
            </w:r>
          </w:p>
        </w:tc>
      </w:tr>
      <w:tr>
        <w:trPr>
          <w:cantSplit/>
        </w:trPr>
        <w:tc>
          <w:tcPr>
            <w:tcW w:type="dxa" w:w="2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Governance &amp; trust</w:t>
            </w:r>
          </w:p>
        </w:tc>
        <w:tc>
          <w:tcPr>
            <w:tcW w:type="dxa" w:w="48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Data governance consulting and services that set ownership, policies, catalog, lineage, access control and privacy, built for AI use as well as reporting.</w:t>
            </w:r>
          </w:p>
        </w:tc>
        <w:tc>
          <w:tcPr>
            <w:tcW w:type="dxa" w:w="2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Governed, discoverable and secure enterprise data</w:t>
            </w:r>
          </w:p>
        </w:tc>
      </w:tr>
      <w:tr>
        <w:trPr>
          <w:cantSplit/>
        </w:trPr>
        <w:tc>
          <w:tcPr>
            <w:tcW w:type="dxa" w:w="2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&amp; analytics preparation</w:t>
            </w:r>
          </w:p>
        </w:tc>
        <w:tc>
          <w:tcPr>
            <w:tcW w:type="dxa" w:w="48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Curated, documented data products with quality checks and semantic definitions that analysts, BI tools and AI models can use directly.</w:t>
            </w:r>
          </w:p>
        </w:tc>
        <w:tc>
          <w:tcPr>
            <w:tcW w:type="dxa" w:w="2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Analytics-ready and AI-ready data products</w:t>
            </w:r>
          </w:p>
        </w:tc>
      </w:tr>
      <w:tr>
        <w:trPr>
          <w:cantSplit/>
        </w:trPr>
        <w:tc>
          <w:tcPr>
            <w:tcW w:type="dxa" w:w="2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Fast Track platform option (UBIX white label)</w:t>
            </w:r>
          </w:p>
        </w:tc>
        <w:tc>
          <w:tcPr>
            <w:tcW w:type="dxa" w:w="48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Modernizing data takes months. The Fast Track platform connects to most of your existing systems, lets business users query enterprise data in natural language, and lets teams build AI agents without code. It delivers value while the foundation workstreams continue, and shows exactly where data quality needs work.</w:t>
            </w:r>
          </w:p>
        </w:tc>
        <w:tc>
          <w:tcPr>
            <w:tcW w:type="dxa" w:w="2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Immediate natural language query of most enterprise data; no-code agent building</w:t>
            </w:r>
          </w:p>
        </w:tc>
      </w:tr>
    </w:tbl>
    <w:p>
      <w:pPr>
        <w:spacing w:after="120"/>
      </w:pPr>
    </w:p>
    <w:p>
      <w:pPr>
        <w:pStyle w:val="Heading2"/>
      </w:pPr>
      <w:r>
        <w:t xml:space="preserve">Positioning against large consultancies and tool-only vendors</w:t>
      </w:r>
    </w:p>
    <w:p>
      <w:pPr>
        <w:spacing w:after="140" w:line="288"/>
      </w:pPr>
      <w:r>
        <w:rPr>
          <w:rFonts w:ascii="Aptos" w:cs="Aptos" w:eastAsia="Aptos" w:hAnsi="Aptos"/>
          <w:color w:val="2F282D"/>
          <w:sz w:val="21"/>
          <w:szCs w:val="21"/>
        </w:rPr>
        <w:t xml:space="preserve">The search results for this space are led by large consultancies (Protiviti, Deloitte, AlixPartners) and specialist data firms. TEAM competes on speed to value, scope and fit for mid-size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Buyer concern</w:t>
            </w:r>
          </w:p>
        </w:tc>
        <w:tc>
          <w:tcPr>
            <w:tcW w:type="dxa" w:w="358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Large consultancy or tool-only vendor</w:t>
            </w:r>
          </w:p>
        </w:tc>
        <w:tc>
          <w:tcPr>
            <w:tcW w:type="dxa" w:w="358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TEAM International</w:t>
            </w:r>
          </w:p>
        </w:tc>
      </w:tr>
      <w:tr>
        <w:trPr>
          <w:cantSplit/>
        </w:trPr>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Where it starts</w:t>
            </w:r>
          </w:p>
        </w:tc>
        <w:tc>
          <w:tcPr>
            <w:tcW w:type="dxa" w:w="358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Long strategy phase, or a tool license</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 3–4 week assessment with a scorecard and roadmap</w:t>
            </w:r>
          </w:p>
        </w:tc>
      </w:tr>
      <w:tr>
        <w:trPr>
          <w:cantSplit/>
        </w:trPr>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Time to first value</w:t>
            </w:r>
          </w:p>
        </w:tc>
        <w:tc>
          <w:tcPr>
            <w:tcW w:type="dxa" w:w="358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Months, after the platform is built</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Weeks, with the Fast Track platform option</w:t>
            </w:r>
          </w:p>
        </w:tc>
      </w:tr>
      <w:tr>
        <w:trPr>
          <w:cantSplit/>
        </w:trPr>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Scope</w:t>
            </w:r>
          </w:p>
        </w:tc>
        <w:tc>
          <w:tcPr>
            <w:tcW w:type="dxa" w:w="358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Strategy only, or one tool's features</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Assessment, quality, integration, governance and data products</w:t>
            </w:r>
          </w:p>
        </w:tc>
      </w:tr>
      <w:tr>
        <w:trPr>
          <w:cantSplit/>
        </w:trPr>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Cost and size</w:t>
            </w:r>
          </w:p>
        </w:tc>
        <w:tc>
          <w:tcPr>
            <w:tcW w:type="dxa" w:w="358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Large teams sized for global enterprises</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Senior teams sized for mid-size budgets</w:t>
            </w:r>
          </w:p>
        </w:tc>
      </w:tr>
    </w:tbl>
    <w:p>
      <w:pPr>
        <w:spacing w:after="120"/>
      </w:pPr>
    </w:p>
    <w:p>
      <w:pPr>
        <w:pStyle w:val="Heading2"/>
      </w:pPr>
      <w:r>
        <w:t xml:space="preserve">How to present the Fast Track platform</w:t>
      </w:r>
    </w:p>
    <w:p>
      <w:pPr>
        <w:spacing w:after="140" w:line="288"/>
      </w:pPr>
      <w:r>
        <w:rPr>
          <w:rFonts w:ascii="Aptos" w:cs="Aptos" w:eastAsia="Aptos" w:hAnsi="Aptos"/>
          <w:color w:val="2F282D"/>
          <w:sz w:val="21"/>
          <w:szCs w:val="21"/>
        </w:rPr>
        <w:t xml:space="preserve">Because the platform is a UBIX white label, the page presents it as TEAM's "Fast Track platform option" and does not name UBIX. This keeps the offer under TEAM's brand and avoids ranking or AI answers sending buyers to the underlying vendor. Confirm this with the UBIX agreement (see Open items).</w:t>
      </w:r>
    </w:p>
    <w:p>
      <w:pPr>
        <w:pStyle w:val="ListParagraph"/>
        <w:numPr>
          <w:ilvl w:val="0"/>
          <w:numId w:val="2"/>
        </w:numPr>
        <w:spacing w:after="80" w:line="276"/>
      </w:pPr>
      <w:r>
        <w:rPr>
          <w:rFonts w:ascii="Aptos" w:cs="Aptos" w:eastAsia="Aptos" w:hAnsi="Aptos"/>
          <w:b/>
          <w:bCs/>
          <w:color w:val="2F282D"/>
          <w:sz w:val="21"/>
          <w:szCs w:val="21"/>
        </w:rPr>
        <w:t xml:space="preserve">Position it as an accelerator, not a shortcut.</w:t>
      </w:r>
      <w:r>
        <w:rPr>
          <w:rFonts w:ascii="Aptos" w:cs="Aptos" w:eastAsia="Aptos" w:hAnsi="Aptos"/>
          <w:color w:val="2F282D"/>
          <w:sz w:val="21"/>
          <w:szCs w:val="21"/>
        </w:rPr>
        <w:t xml:space="preserve"> It runs alongside the roadmap and shows where data quality work matters most.</w:t>
      </w:r>
    </w:p>
    <w:p>
      <w:pPr>
        <w:pStyle w:val="ListParagraph"/>
        <w:numPr>
          <w:ilvl w:val="0"/>
          <w:numId w:val="2"/>
        </w:numPr>
        <w:spacing w:after="80" w:line="276"/>
      </w:pPr>
      <w:r>
        <w:rPr>
          <w:rFonts w:ascii="Aptos" w:cs="Aptos" w:eastAsia="Aptos" w:hAnsi="Aptos"/>
          <w:b/>
          <w:bCs/>
          <w:color w:val="2F282D"/>
          <w:sz w:val="21"/>
          <w:szCs w:val="21"/>
        </w:rPr>
        <w:t xml:space="preserve">Describe outcomes, not features:</w:t>
      </w:r>
      <w:r>
        <w:rPr>
          <w:rFonts w:ascii="Aptos" w:cs="Aptos" w:eastAsia="Aptos" w:hAnsi="Aptos"/>
          <w:color w:val="2F282D"/>
          <w:sz w:val="21"/>
          <w:szCs w:val="21"/>
        </w:rPr>
        <w:t xml:space="preserve"> "ask questions of most enterprise data in plain language," "build AI agents without code," "value in weeks."</w:t>
      </w:r>
    </w:p>
    <w:p>
      <w:pPr>
        <w:pStyle w:val="ListParagraph"/>
        <w:numPr>
          <w:ilvl w:val="0"/>
          <w:numId w:val="2"/>
        </w:numPr>
        <w:spacing w:after="80" w:line="276"/>
      </w:pPr>
      <w:r>
        <w:rPr>
          <w:rFonts w:ascii="Aptos" w:cs="Aptos" w:eastAsia="Aptos" w:hAnsi="Aptos"/>
          <w:b/>
          <w:bCs/>
          <w:color w:val="2F282D"/>
          <w:sz w:val="21"/>
          <w:szCs w:val="21"/>
        </w:rPr>
        <w:t xml:space="preserve">Avoid unverifiable claims</w:t>
      </w:r>
      <w:r>
        <w:rPr>
          <w:rFonts w:ascii="Aptos" w:cs="Aptos" w:eastAsia="Aptos" w:hAnsi="Aptos"/>
          <w:color w:val="2F282D"/>
          <w:sz w:val="21"/>
          <w:szCs w:val="21"/>
        </w:rPr>
        <w:t xml:space="preserve"> such as "the only" or exact accuracy figures until TEAM has its own client results.</w:t>
      </w:r>
    </w:p>
    <w:p>
      <w:pPr>
        <w:pStyle w:val="Heading1"/>
        <w:pBdr>
          <w:bottom w:val="single" w:color="FDBE00" w:sz="12" w:space="4"/>
        </w:pBdr>
      </w:pPr>
      <w:r>
        <w:t xml:space="preserve">4. Why this service matters in the portfolio</w:t>
      </w:r>
    </w:p>
    <w:p>
      <w:pPr>
        <w:pStyle w:val="ListParagraph"/>
        <w:numPr>
          <w:ilvl w:val="0"/>
          <w:numId w:val="2"/>
        </w:numPr>
        <w:spacing w:after="80" w:line="276"/>
      </w:pPr>
      <w:r>
        <w:rPr>
          <w:rFonts w:ascii="Aptos" w:cs="Aptos" w:eastAsia="Aptos" w:hAnsi="Aptos"/>
          <w:b/>
          <w:bCs/>
          <w:color w:val="2F282D"/>
          <w:sz w:val="21"/>
          <w:szCs w:val="21"/>
        </w:rPr>
        <w:t xml:space="preserve">It unblocks everything else.</w:t>
      </w:r>
      <w:r>
        <w:rPr>
          <w:rFonts w:ascii="Aptos" w:cs="Aptos" w:eastAsia="Aptos" w:hAnsi="Aptos"/>
          <w:color w:val="2F282D"/>
          <w:sz w:val="21"/>
          <w:szCs w:val="21"/>
        </w:rPr>
        <w:t xml:space="preserve"> AI-powered software (Solution 1) and AI transformation (Solution 4) both depend on usable data. Data readiness is often the first project and leads naturally to the others.</w:t>
      </w:r>
    </w:p>
    <w:p>
      <w:pPr>
        <w:pStyle w:val="ListParagraph"/>
        <w:numPr>
          <w:ilvl w:val="0"/>
          <w:numId w:val="2"/>
        </w:numPr>
        <w:spacing w:after="80" w:line="276"/>
      </w:pPr>
      <w:r>
        <w:rPr>
          <w:rFonts w:ascii="Aptos" w:cs="Aptos" w:eastAsia="Aptos" w:hAnsi="Aptos"/>
          <w:b/>
          <w:bCs/>
          <w:color w:val="2F282D"/>
          <w:sz w:val="21"/>
          <w:szCs w:val="21"/>
        </w:rPr>
        <w:t xml:space="preserve">The assessment is a low-risk door opener.</w:t>
      </w:r>
      <w:r>
        <w:rPr>
          <w:rFonts w:ascii="Aptos" w:cs="Aptos" w:eastAsia="Aptos" w:hAnsi="Aptos"/>
          <w:color w:val="2F282D"/>
          <w:sz w:val="21"/>
          <w:szCs w:val="21"/>
        </w:rPr>
        <w:t xml:space="preserve"> A fixed-scope scorecard and roadmap is easy for mid-size buyers to approve and produces a backlog of follow-on work.</w:t>
      </w:r>
    </w:p>
    <w:p>
      <w:pPr>
        <w:pStyle w:val="ListParagraph"/>
        <w:numPr>
          <w:ilvl w:val="0"/>
          <w:numId w:val="2"/>
        </w:numPr>
        <w:spacing w:after="80" w:line="276"/>
      </w:pPr>
      <w:r>
        <w:rPr>
          <w:rFonts w:ascii="Aptos" w:cs="Aptos" w:eastAsia="Aptos" w:hAnsi="Aptos"/>
          <w:b/>
          <w:bCs/>
          <w:color w:val="2F282D"/>
          <w:sz w:val="21"/>
          <w:szCs w:val="21"/>
        </w:rPr>
        <w:t xml:space="preserve">The Fast Track option is a differentiator.</w:t>
      </w:r>
      <w:r>
        <w:rPr>
          <w:rFonts w:ascii="Aptos" w:cs="Aptos" w:eastAsia="Aptos" w:hAnsi="Aptos"/>
          <w:color w:val="2F282D"/>
          <w:sz w:val="21"/>
          <w:szCs w:val="21"/>
        </w:rPr>
        <w:t xml:space="preserve"> Pure consultancies can't show value in weeks; pure tool vendors can't fix the underlying data. TEAM does both.</w:t>
      </w:r>
    </w:p>
    <w:p>
      <w:pPr>
        <w:pStyle w:val="ListParagraph"/>
        <w:numPr>
          <w:ilvl w:val="0"/>
          <w:numId w:val="2"/>
        </w:numPr>
        <w:spacing w:after="80" w:line="276"/>
      </w:pPr>
      <w:r>
        <w:rPr>
          <w:rFonts w:ascii="Aptos" w:cs="Aptos" w:eastAsia="Aptos" w:hAnsi="Aptos"/>
          <w:b/>
          <w:bCs/>
          <w:color w:val="2F282D"/>
          <w:sz w:val="21"/>
          <w:szCs w:val="21"/>
        </w:rPr>
        <w:t xml:space="preserve">The search data is unusually favorable.</w:t>
      </w:r>
      <w:r>
        <w:rPr>
          <w:rFonts w:ascii="Aptos" w:cs="Aptos" w:eastAsia="Aptos" w:hAnsi="Aptos"/>
          <w:color w:val="2F282D"/>
          <w:sz w:val="21"/>
          <w:szCs w:val="21"/>
        </w:rPr>
        <w:t xml:space="preserve"> High-value commercial terms (data governance consulting, data modernization services, data strategy consulting, data quality consulting) sit at KD 9–15, easier than almost anything in Solution 1.</w:t>
      </w:r>
    </w:p>
    <w:p>
      <w:pPr>
        <w:pStyle w:val="Heading1"/>
        <w:pBdr>
          <w:bottom w:val="single" w:color="FDBE00" w:sz="12" w:space="4"/>
        </w:pBdr>
      </w:pPr>
      <w:r>
        <w:t xml:space="preserve">5. SEO strategy</w:t>
      </w:r>
    </w:p>
    <w:p>
      <w:pPr>
        <w:pStyle w:val="Heading2"/>
      </w:pPr>
      <w:r>
        <w:t xml:space="preserve">Starting point</w:t>
      </w:r>
    </w:p>
    <w:p>
      <w:pPr>
        <w:spacing w:after="140" w:line="288"/>
      </w:pPr>
      <w:r>
        <w:rPr>
          <w:rFonts w:ascii="Aptos" w:cs="Aptos" w:eastAsia="Aptos" w:hAnsi="Aptos"/>
          <w:color w:val="2F282D"/>
          <w:sz w:val="21"/>
          <w:szCs w:val="21"/>
        </w:rPr>
        <w:t xml:space="preserve">teaminternational.com ranks for 371 US keywords and gets about 439 organic visits a month (Semrush, October 2026), so year-one targets should stay at KD 30 or below. Colombian traffic is internal and excluded.</w:t>
      </w:r>
    </w:p>
    <w:p>
      <w:pPr>
        <w:pStyle w:val="Heading2"/>
      </w:pPr>
      <w:r>
        <w:t xml:space="preserve">Approach</w:t>
      </w:r>
    </w:p>
    <w:p>
      <w:pPr>
        <w:pStyle w:val="ListParagraph"/>
        <w:numPr>
          <w:ilvl w:val="0"/>
          <w:numId w:val="2"/>
        </w:numPr>
        <w:spacing w:after="80" w:line="276"/>
      </w:pPr>
      <w:r>
        <w:rPr>
          <w:rFonts w:ascii="Aptos" w:cs="Aptos" w:eastAsia="Aptos" w:hAnsi="Aptos"/>
          <w:b/>
          <w:bCs/>
          <w:color w:val="2F282D"/>
          <w:sz w:val="21"/>
          <w:szCs w:val="21"/>
        </w:rPr>
        <w:t xml:space="preserve">One page for the service</w:t>
      </w:r>
      <w:r>
        <w:rPr>
          <w:rFonts w:ascii="Aptos" w:cs="Aptos" w:eastAsia="Aptos" w:hAnsi="Aptos"/>
          <w:color w:val="2F282D"/>
          <w:sz w:val="21"/>
          <w:szCs w:val="21"/>
        </w:rPr>
        <w:t xml:space="preserve">, with "data readiness" as the topic in the title and H1, and two commercial primaries in the meta description, H2s, answers and FAQ: "data governance consulting" and "data modernization services."</w:t>
      </w:r>
    </w:p>
    <w:p>
      <w:pPr>
        <w:pStyle w:val="ListParagraph"/>
        <w:numPr>
          <w:ilvl w:val="0"/>
          <w:numId w:val="2"/>
        </w:numPr>
        <w:spacing w:after="80" w:line="276"/>
      </w:pPr>
      <w:r>
        <w:rPr>
          <w:rFonts w:ascii="Aptos" w:cs="Aptos" w:eastAsia="Aptos" w:hAnsi="Aptos"/>
          <w:b/>
          <w:bCs/>
          <w:color w:val="2F282D"/>
          <w:sz w:val="21"/>
          <w:szCs w:val="21"/>
        </w:rPr>
        <w:t xml:space="preserve">Workstream keywords as secondaries.</w:t>
      </w:r>
      <w:r>
        <w:rPr>
          <w:rFonts w:ascii="Aptos" w:cs="Aptos" w:eastAsia="Aptos" w:hAnsi="Aptos"/>
          <w:color w:val="2F282D"/>
          <w:sz w:val="21"/>
          <w:szCs w:val="21"/>
        </w:rPr>
        <w:t xml:space="preserve"> Each workstream maps to its own easy commercial term (data strategy consulting, data quality consulting, data cleansing services, enterprise data integration, data engineering services, data platform modernization).</w:t>
      </w:r>
    </w:p>
    <w:p>
      <w:pPr>
        <w:pStyle w:val="ListParagraph"/>
        <w:numPr>
          <w:ilvl w:val="0"/>
          <w:numId w:val="2"/>
        </w:numPr>
        <w:spacing w:after="80" w:line="276"/>
      </w:pPr>
      <w:r>
        <w:rPr>
          <w:rFonts w:ascii="Aptos" w:cs="Aptos" w:eastAsia="Aptos" w:hAnsi="Aptos"/>
          <w:b/>
          <w:bCs/>
          <w:color w:val="2F282D"/>
          <w:sz w:val="21"/>
          <w:szCs w:val="21"/>
        </w:rPr>
        <w:t xml:space="preserve">The Fast Track terms</w:t>
      </w:r>
      <w:r>
        <w:rPr>
          <w:rFonts w:ascii="Aptos" w:cs="Aptos" w:eastAsia="Aptos" w:hAnsi="Aptos"/>
          <w:color w:val="2F282D"/>
          <w:sz w:val="21"/>
          <w:szCs w:val="21"/>
        </w:rPr>
        <w:t xml:space="preserve"> ("natural language query", "no-code AI agent builder") are used in the Fast Track section, where they also describe UBIX capabilities without naming the vendor.</w:t>
      </w:r>
    </w:p>
    <w:p>
      <w:pPr>
        <w:pStyle w:val="ListParagraph"/>
        <w:numPr>
          <w:ilvl w:val="0"/>
          <w:numId w:val="2"/>
        </w:numPr>
        <w:spacing w:after="80" w:line="276"/>
      </w:pPr>
      <w:r>
        <w:rPr>
          <w:rFonts w:ascii="Aptos" w:cs="Aptos" w:eastAsia="Aptos" w:hAnsi="Aptos"/>
          <w:b/>
          <w:bCs/>
          <w:color w:val="2F282D"/>
          <w:sz w:val="21"/>
          <w:szCs w:val="21"/>
        </w:rPr>
        <w:t xml:space="preserve">Name the cloud platforms.</w:t>
      </w:r>
      <w:r>
        <w:rPr>
          <w:rFonts w:ascii="Aptos" w:cs="Aptos" w:eastAsia="Aptos" w:hAnsi="Aptos"/>
          <w:color w:val="2F282D"/>
          <w:sz w:val="21"/>
          <w:szCs w:val="21"/>
        </w:rPr>
        <w:t xml:space="preserve"> Microsoft Azure and AWS are named in the integration workstream and FAQ. Platform-specific searches are small ("azure data migration services" 170/mo, KD 40; "aws data migration services" 70/mo, KD 47), so the main value is credibility and GEO: AI engines match vendors to platforms by name.</w:t>
      </w:r>
    </w:p>
    <w:p>
      <w:pPr>
        <w:pStyle w:val="ListParagraph"/>
        <w:numPr>
          <w:ilvl w:val="0"/>
          <w:numId w:val="2"/>
        </w:numPr>
        <w:spacing w:after="80" w:line="276"/>
      </w:pPr>
      <w:r>
        <w:rPr>
          <w:rFonts w:ascii="Aptos" w:cs="Aptos" w:eastAsia="Aptos" w:hAnsi="Aptos"/>
          <w:b/>
          <w:bCs/>
          <w:color w:val="2F282D"/>
          <w:sz w:val="21"/>
          <w:szCs w:val="21"/>
        </w:rPr>
        <w:t xml:space="preserve">Exact phrases, placed once</w:t>
      </w:r>
      <w:r>
        <w:rPr>
          <w:rFonts w:ascii="Aptos" w:cs="Aptos" w:eastAsia="Aptos" w:hAnsi="Aptos"/>
          <w:color w:val="2F282D"/>
          <w:sz w:val="21"/>
          <w:szCs w:val="21"/>
        </w:rPr>
        <w:t xml:space="preserve">, following the placement map in section 7.</w:t>
      </w:r>
    </w:p>
    <w:p>
      <w:pPr>
        <w:pStyle w:val="Heading2"/>
      </w:pPr>
      <w:r>
        <w:t xml:space="preserve">Avoiding overlap with other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360"/>
      </w:tblGrid>
      <w:tr>
        <w:trPr>
          <w:tblHeader/>
        </w:trPr>
        <w:tc>
          <w:tcPr>
            <w:tcW w:type="dxa" w:w="31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Overlap</w:t>
            </w:r>
          </w:p>
        </w:tc>
        <w:tc>
          <w:tcPr>
            <w:tcW w:type="dxa" w:w="2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Risk</w:t>
            </w:r>
          </w:p>
        </w:tc>
        <w:tc>
          <w:tcPr>
            <w:tcW w:type="dxa" w:w="33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Recommendation</w:t>
            </w:r>
          </w:p>
        </w:tc>
      </w:tr>
      <w:tr>
        <w:trPr>
          <w:cantSplit/>
        </w:trPr>
        <w:tc>
          <w:tcPr>
            <w:tcW w:type="dxa" w:w="3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Existing /solutions/data-management (DMaaS) and Data Studio pages on the current site</w:t>
            </w:r>
          </w:p>
        </w:tc>
        <w:tc>
          <w:tcPr>
            <w:tcW w:type="dxa" w:w="2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Two pages competing for "data management" and "data modernization" terms</w:t>
            </w:r>
          </w:p>
        </w:tc>
        <w:tc>
          <w:tcPr>
            <w:tcW w:type="dxa" w:w="3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Retire or redirect the old pages to this one when the new site launches, or re-target them to managed data operations</w:t>
            </w:r>
          </w:p>
        </w:tc>
      </w:tr>
      <w:tr>
        <w:trPr>
          <w:cantSplit/>
        </w:trPr>
        <w:tc>
          <w:tcPr>
            <w:tcW w:type="dxa" w:w="3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Solution 4: AI Transformation &amp; Value Realization</w:t>
            </w:r>
          </w:p>
        </w:tc>
        <w:tc>
          <w:tcPr>
            <w:tcW w:type="dxa" w:w="2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readiness assessment" (1,600/mo) and "AI governance framework" fit both pages</w:t>
            </w:r>
          </w:p>
        </w:tc>
        <w:tc>
          <w:tcPr>
            <w:tcW w:type="dxa" w:w="3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Assign AI readiness and AI governance terms to Solution 4; keep data readiness and data governance here, and link the two pages</w:t>
            </w:r>
          </w:p>
        </w:tc>
      </w:tr>
      <w:tr>
        <w:trPr>
          <w:cantSplit/>
        </w:trPr>
        <w:tc>
          <w:tcPr>
            <w:tcW w:type="dxa" w:w="3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Solution 1: AI-Powered Software Engineering</w:t>
            </w:r>
          </w:p>
        </w:tc>
        <w:tc>
          <w:tcPr>
            <w:tcW w:type="dxa" w:w="2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Integration and modernization language overlaps</w:t>
            </w:r>
          </w:p>
        </w:tc>
        <w:tc>
          <w:tcPr>
            <w:tcW w:type="dxa" w:w="3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Solution 1 owns application modernization; this page owns data platform modernization</w:t>
            </w:r>
          </w:p>
        </w:tc>
      </w:tr>
    </w:tbl>
    <w:p>
      <w:pPr>
        <w:spacing w:after="120"/>
      </w:pPr>
    </w:p>
    <w:p>
      <w:pPr>
        <w:pStyle w:val="Heading2"/>
      </w:pPr>
      <w:r>
        <w:t xml:space="preserve">Realistic traffic</w:t>
      </w:r>
    </w:p>
    <w:p>
      <w:pPr>
        <w:spacing w:after="140" w:line="288"/>
      </w:pPr>
      <w:r>
        <w:rPr>
          <w:rFonts w:ascii="Aptos" w:cs="Aptos" w:eastAsia="Aptos" w:hAnsi="Aptos"/>
          <w:color w:val="2F282D"/>
          <w:sz w:val="21"/>
          <w:szCs w:val="21"/>
        </w:rPr>
        <w:t xml:space="preserve">The 15 keywords in section 7 total about 12,000 US searches a month. Ranking in the top 5 for most of them at about 5% click-through, discounted for AI Overviews, gives about 400–700 visits a month within 6–12 months, in the US alone. These are high-intent buyer searches with CPCs of $10–$68, so even a modest share should produce qualified leads.</w:t>
      </w:r>
    </w:p>
    <w:p>
      <w:pPr>
        <w:pStyle w:val="Heading1"/>
        <w:pBdr>
          <w:bottom w:val="single" w:color="FDBE00" w:sz="12" w:space="4"/>
        </w:pBdr>
      </w:pPr>
      <w:r>
        <w:t xml:space="preserve">6. Broad keywords we're not targeting</w:t>
      </w:r>
    </w:p>
    <w:p>
      <w:pPr>
        <w:spacing w:after="140" w:line="288"/>
      </w:pPr>
      <w:r>
        <w:rPr>
          <w:rFonts w:ascii="Aptos" w:cs="Aptos" w:eastAsia="Aptos" w:hAnsi="Aptos"/>
          <w:color w:val="2F282D"/>
          <w:sz w:val="21"/>
          <w:szCs w:val="21"/>
        </w:rPr>
        <w:t xml:space="preserve">These terms have high volume but are either informational, owned by software vendors, reserved for another solution page, or too hard for the domain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50"/>
        <w:gridCol w:w="600"/>
        <w:gridCol w:w="950"/>
        <w:gridCol w:w="4160"/>
      </w:tblGrid>
      <w:tr>
        <w:trPr>
          <w:tblHeader/>
        </w:trPr>
        <w:tc>
          <w:tcPr>
            <w:tcW w:type="dxa" w:w="2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95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US vol/mo</w:t>
            </w:r>
          </w:p>
        </w:tc>
        <w:tc>
          <w:tcPr>
            <w:tcW w:type="dxa" w:w="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95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CPC (USD)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Decision and reason</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quality management</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110,000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35</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7.89</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Mostly software and definition searches.</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data governance framework</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3,600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44</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8.57</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Informational; used in copy, better for a blog post.</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governance framework</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3,600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55</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23.88</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Hard, and belongs to Solution 4.</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data analytics consulting</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3,600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9.29</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Not here. Broader analytics intent; better for a future analytics page.</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fabric</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40</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7.48</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Informational and vendor-led.</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semantic layer</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50</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8.07</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Hard and vendor-led.</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catalog</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43</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11.03</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Searchers want catalog software.</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agent builder</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52</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11.98</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Hard; "no-code AI agent builder" (KD 23) is used instead.</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enterprise ai platform</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35</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27.31</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Software vendors dominate.</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readiness assessment</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38</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17.82</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Not here. Reserved for Solution 4 to avoid cannibalization.</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migration services</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25.99</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Hard; covered by modernization terms.</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data silos</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52</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9.43</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Hard and informational.</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consulting services</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58</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17.15</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Hard.</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ready data</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37</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15.68</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Year 2. Used in copy for GEO; possible once authority grows.</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conversational analytics</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11.28</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Hard and vendor-led.</w:t>
            </w:r>
          </w:p>
        </w:tc>
      </w:tr>
    </w:tbl>
    <w:p>
      <w:pPr>
        <w:pStyle w:val="Heading1"/>
        <w:pBdr>
          <w:bottom w:val="single" w:color="FDBE00" w:sz="12" w:space="4"/>
        </w:pBdr>
      </w:pPr>
      <w:r>
        <w:t xml:space="preserve">7. Keywords included and why</w:t>
      </w:r>
    </w:p>
    <w:p>
      <w:pPr>
        <w:pStyle w:val="Heading2"/>
      </w:pPr>
      <w:r>
        <w:t xml:space="preserve">Topic, primary and secondary keywords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800"/>
        <w:gridCol w:w="500"/>
        <w:gridCol w:w="800"/>
        <w:gridCol w:w="3060"/>
      </w:tblGrid>
      <w:tr>
        <w:trPr>
          <w:tblHeader/>
        </w:trPr>
        <w:tc>
          <w:tcPr>
            <w:tcW w:type="dxa" w:w="2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Role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US vol/mo</w:t>
            </w:r>
          </w:p>
        </w:tc>
        <w:tc>
          <w:tcPr>
            <w:tcW w:type="dxa" w:w="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CPC (USD)</w:t>
            </w:r>
          </w:p>
        </w:tc>
        <w:tc>
          <w:tcPr>
            <w:tcW w:type="dxa" w:w="3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included</w:t>
            </w:r>
          </w:p>
        </w:tc>
      </w:tr>
      <w:tr>
        <w:trPr>
          <w:cantSplit/>
        </w:trPr>
        <w:tc>
          <w:tcPr>
            <w:tcW w:type="dxa" w:w="2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readiness</w:t>
            </w:r>
          </w:p>
        </w:tc>
        <w:tc>
          <w:tcPr>
            <w:tcW w:type="dxa" w:w="1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Topic · title, H1</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390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10.72</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Names the service; low difficulty</w:t>
            </w:r>
          </w:p>
        </w:tc>
      </w:tr>
      <w:tr>
        <w:trPr>
          <w:cantSplit/>
        </w:trPr>
        <w:tc>
          <w:tcPr>
            <w:tcW w:type="dxa" w:w="2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data readiness assessment</w:t>
            </w:r>
          </w:p>
        </w:tc>
        <w:tc>
          <w:tcPr>
            <w:tcW w:type="dxa" w:w="1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Topic · entry offer</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10.89</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Exact match to the main CTA</w:t>
            </w:r>
          </w:p>
        </w:tc>
      </w:tr>
      <w:tr>
        <w:trPr>
          <w:cantSplit/>
        </w:trPr>
        <w:tc>
          <w:tcPr>
            <w:tcW w:type="dxa" w:w="2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governance consulting</w:t>
            </w:r>
          </w:p>
        </w:tc>
        <w:tc>
          <w:tcPr>
            <w:tcW w:type="dxa" w:w="1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Primary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1,000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9</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67.72</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Very easy for its value; results include Reddit, a sign of weak competition</w:t>
            </w:r>
          </w:p>
        </w:tc>
      </w:tr>
      <w:tr>
        <w:trPr>
          <w:cantSplit/>
        </w:trPr>
        <w:tc>
          <w:tcPr>
            <w:tcW w:type="dxa" w:w="2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data modernization services</w:t>
            </w:r>
          </w:p>
        </w:tc>
        <w:tc>
          <w:tcPr>
            <w:tcW w:type="dxa" w:w="1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Primary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720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12</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24.13</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Easy commercial term; top results are mid-size peers</w:t>
            </w:r>
          </w:p>
        </w:tc>
      </w:tr>
      <w:tr>
        <w:trPr>
          <w:cantSplit/>
        </w:trPr>
        <w:tc>
          <w:tcPr>
            <w:tcW w:type="dxa" w:w="2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engineering services</w:t>
            </w:r>
          </w:p>
        </w:tc>
        <w:tc>
          <w:tcPr>
            <w:tcW w:type="dxa" w:w="1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2,400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37.39</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Largest volume in the cluster; integration workstream</w:t>
            </w:r>
          </w:p>
        </w:tc>
      </w:tr>
      <w:tr>
        <w:trPr>
          <w:cantSplit/>
        </w:trPr>
        <w:tc>
          <w:tcPr>
            <w:tcW w:type="dxa" w:w="2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data strategy consulting</w:t>
            </w:r>
          </w:p>
        </w:tc>
        <w:tc>
          <w:tcPr>
            <w:tcW w:type="dxa" w:w="1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15</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12.84</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Fits the assessment and roadmap</w:t>
            </w:r>
          </w:p>
        </w:tc>
      </w:tr>
      <w:tr>
        <w:trPr>
          <w:cantSplit/>
        </w:trPr>
        <w:tc>
          <w:tcPr>
            <w:tcW w:type="dxa" w:w="2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modernization</w:t>
            </w:r>
          </w:p>
        </w:tc>
        <w:tc>
          <w:tcPr>
            <w:tcW w:type="dxa" w:w="1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14.62</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Broader variant of the primary</w:t>
            </w:r>
          </w:p>
        </w:tc>
      </w:tr>
      <w:tr>
        <w:trPr>
          <w:cantSplit/>
        </w:trPr>
        <w:tc>
          <w:tcPr>
            <w:tcW w:type="dxa" w:w="2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data cleansing services</w:t>
            </w:r>
          </w:p>
        </w:tc>
        <w:tc>
          <w:tcPr>
            <w:tcW w:type="dxa" w:w="1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1,000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23</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11.20</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Quality and harmonization workstream</w:t>
            </w:r>
          </w:p>
        </w:tc>
      </w:tr>
      <w:tr>
        <w:trPr>
          <w:cantSplit/>
        </w:trPr>
        <w:tc>
          <w:tcPr>
            <w:tcW w:type="dxa" w:w="2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governance services</w:t>
            </w:r>
          </w:p>
        </w:tc>
        <w:tc>
          <w:tcPr>
            <w:tcW w:type="dxa" w:w="1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1,000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55.80</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Close variant of the primary</w:t>
            </w:r>
          </w:p>
        </w:tc>
      </w:tr>
      <w:tr>
        <w:trPr>
          <w:cantSplit/>
        </w:trPr>
        <w:tc>
          <w:tcPr>
            <w:tcW w:type="dxa" w:w="2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data management consulting</w:t>
            </w:r>
          </w:p>
        </w:tc>
        <w:tc>
          <w:tcPr>
            <w:tcW w:type="dxa" w:w="1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720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21.11</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Umbrella term for the workstreams</w:t>
            </w:r>
          </w:p>
        </w:tc>
      </w:tr>
      <w:tr>
        <w:trPr>
          <w:cantSplit/>
        </w:trPr>
        <w:tc>
          <w:tcPr>
            <w:tcW w:type="dxa" w:w="2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enterprise data integration</w:t>
            </w:r>
          </w:p>
        </w:tc>
        <w:tc>
          <w:tcPr>
            <w:tcW w:type="dxa" w:w="1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12</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18.80</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Integration workstream; very easy</w:t>
            </w:r>
          </w:p>
        </w:tc>
      </w:tr>
      <w:tr>
        <w:trPr>
          <w:cantSplit/>
        </w:trPr>
        <w:tc>
          <w:tcPr>
            <w:tcW w:type="dxa" w:w="2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data platform modernization</w:t>
            </w:r>
          </w:p>
        </w:tc>
        <w:tc>
          <w:tcPr>
            <w:tcW w:type="dxa" w:w="1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Integration and modernization workstream</w:t>
            </w:r>
          </w:p>
        </w:tc>
      </w:tr>
      <w:tr>
        <w:trPr>
          <w:cantSplit/>
        </w:trPr>
        <w:tc>
          <w:tcPr>
            <w:tcW w:type="dxa" w:w="2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quality consulting</w:t>
            </w:r>
          </w:p>
        </w:tc>
        <w:tc>
          <w:tcPr>
            <w:tcW w:type="dxa" w:w="1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390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Quality workstream; easy</w:t>
            </w:r>
          </w:p>
        </w:tc>
      </w:tr>
      <w:tr>
        <w:trPr>
          <w:cantSplit/>
        </w:trPr>
        <w:tc>
          <w:tcPr>
            <w:tcW w:type="dxa" w:w="2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natural language query</w:t>
            </w:r>
          </w:p>
        </w:tc>
        <w:tc>
          <w:tcPr>
            <w:tcW w:type="dxa" w:w="1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 · Fast Track</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390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23</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6.59</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Describes the Fast Track platform</w:t>
            </w:r>
          </w:p>
        </w:tc>
      </w:tr>
      <w:tr>
        <w:trPr>
          <w:cantSplit/>
        </w:trPr>
        <w:tc>
          <w:tcPr>
            <w:tcW w:type="dxa" w:w="2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no code ai agent builder</w:t>
            </w:r>
          </w:p>
        </w:tc>
        <w:tc>
          <w:tcPr>
            <w:tcW w:type="dxa" w:w="1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 · Fast Track</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390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23</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10.26</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Describes the Fast Track platform</w:t>
            </w:r>
          </w:p>
        </w:tc>
      </w:tr>
    </w:tbl>
    <w:p>
      <w:pPr>
        <w:spacing w:after="120"/>
      </w:pPr>
    </w:p>
    <w:p>
      <w:pPr>
        <w:pStyle w:val="Heading2"/>
      </w:pPr>
      <w:r>
        <w:t xml:space="preserve">Europe (needs en-GB and German page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900"/>
        <w:gridCol w:w="600"/>
        <w:gridCol w:w="1100"/>
        <w:gridCol w:w="2960"/>
      </w:tblGrid>
      <w:tr>
        <w:trPr>
          <w:tblHeader/>
        </w:trPr>
        <w:tc>
          <w:tcPr>
            <w:tcW w:type="dxa" w:w="3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Market</w:t>
            </w:r>
          </w:p>
        </w:tc>
        <w:tc>
          <w:tcPr>
            <w:tcW w:type="dxa" w:w="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Vol/mo</w:t>
            </w:r>
          </w:p>
        </w:tc>
        <w:tc>
          <w:tcPr>
            <w:tcW w:type="dxa" w:w="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11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CPC</w:t>
            </w:r>
          </w:p>
        </w:tc>
        <w:tc>
          <w:tcPr>
            <w:tcW w:type="dxa" w:w="2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Note</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governance consulting</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390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£206.74</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Extremely high value per click</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data governance services</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£210.15</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Extremely high value per click</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strategy consulting</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9</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£22.75</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Very easy</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data cleansing services</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£14.80</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management consulting</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20</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£20.06</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data engineering services</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9</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£23.46</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Very easy</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quality consulting</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15</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data governance</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€3.34</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English term used in Germany; easy</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datenqualität</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22</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€3.16</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"Data quality"</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datenbereinigung</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€2.14</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"Data cleansing"</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stammdatenmanagement</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720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20</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€3.56</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"Master data management"</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datenqualität verbessern</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390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€2.69</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"Improve data quality"</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datenstrategie beratung</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"Data strategy consulting"</w:t>
            </w:r>
          </w:p>
        </w:tc>
      </w:tr>
    </w:tbl>
    <w:p>
      <w:pPr>
        <w:spacing w:after="120"/>
      </w:pPr>
    </w:p>
    <w:p>
      <w:pPr>
        <w:spacing w:after="140" w:line="288"/>
      </w:pPr>
      <w:r>
        <w:rPr>
          <w:rFonts w:ascii="Aptos" w:cs="Aptos" w:eastAsia="Aptos" w:hAnsi="Aptos"/>
          <w:color w:val="2F282D"/>
          <w:sz w:val="21"/>
          <w:szCs w:val="21"/>
        </w:rPr>
        <w:t xml:space="preserve">"Data readiness" itself has little volume in Europe (UK 30, DE 30), so the European versions lead with governance, quality and strategy terms.</w:t>
      </w:r>
    </w:p>
    <w:p>
      <w:pPr>
        <w:pStyle w:val="Heading2"/>
      </w:pPr>
      <w:r>
        <w:t xml:space="preserve">Informational keywords (answers, FAQ and blog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800"/>
        <w:gridCol w:w="3560"/>
      </w:tblGrid>
      <w:tr>
        <w:trPr>
          <w:tblHeader/>
        </w:trPr>
        <w:tc>
          <w:tcPr>
            <w:tcW w:type="dxa" w:w="3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US vol/mo</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35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Where it goes</w:t>
            </w:r>
          </w:p>
        </w:tc>
      </w:tr>
      <w:tr>
        <w:trPr>
          <w:cantSplit/>
        </w:trPr>
        <w:tc>
          <w:tcPr>
            <w:tcW w:type="dxa" w:w="3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harmonization</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31</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Answer snippet</w:t>
            </w:r>
          </w:p>
        </w:tc>
      </w:tr>
      <w:tr>
        <w:trPr>
          <w:cantSplit/>
        </w:trPr>
        <w:tc>
          <w:tcPr>
            <w:tcW w:type="dxa" w:w="3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data quality framework</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720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FAQ 5</w:t>
            </w:r>
          </w:p>
        </w:tc>
      </w:tr>
      <w:tr>
        <w:trPr>
          <w:cantSplit/>
        </w:trPr>
        <w:tc>
          <w:tcPr>
            <w:tcW w:type="dxa" w:w="3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governance vs data management</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590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28</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Blog post</w:t>
            </w:r>
          </w:p>
        </w:tc>
      </w:tr>
      <w:tr>
        <w:trPr>
          <w:cantSplit/>
        </w:trPr>
        <w:tc>
          <w:tcPr>
            <w:tcW w:type="dxa" w:w="3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data maturity model</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590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23</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Blog post</w:t>
            </w:r>
          </w:p>
        </w:tc>
      </w:tr>
      <w:tr>
        <w:trPr>
          <w:cantSplit/>
        </w:trPr>
        <w:tc>
          <w:tcPr>
            <w:tcW w:type="dxa" w:w="3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what is ai ready data</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27</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Answer snippet</w:t>
            </w:r>
          </w:p>
        </w:tc>
      </w:tr>
      <w:tr>
        <w:trPr>
          <w:cantSplit/>
        </w:trPr>
        <w:tc>
          <w:tcPr>
            <w:tcW w:type="dxa" w:w="3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what is data harmonization</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Answer snippet</w:t>
            </w:r>
          </w:p>
        </w:tc>
      </w:tr>
      <w:tr>
        <w:trPr>
          <w:cantSplit/>
        </w:trPr>
        <w:tc>
          <w:tcPr>
            <w:tcW w:type="dxa" w:w="3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modernization strategy</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Answer snippet</w:t>
            </w:r>
          </w:p>
        </w:tc>
      </w:tr>
      <w:tr>
        <w:trPr>
          <w:cantSplit/>
        </w:trPr>
        <w:tc>
          <w:tcPr>
            <w:tcW w:type="dxa" w:w="3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data strategy for ai</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22</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Blog post</w:t>
            </w:r>
          </w:p>
        </w:tc>
      </w:tr>
      <w:tr>
        <w:trPr>
          <w:cantSplit/>
        </w:trPr>
        <w:tc>
          <w:tcPr>
            <w:tcW w:type="dxa" w:w="3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data readiness checklist</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Downloadable checklist (lead magnet)</w:t>
            </w:r>
          </w:p>
        </w:tc>
      </w:tr>
    </w:tbl>
    <w:p>
      <w:pPr>
        <w:spacing w:after="120"/>
      </w:pPr>
    </w:p>
    <w:p>
      <w:pPr>
        <w:pStyle w:val="Heading2"/>
      </w:pPr>
      <w:r>
        <w:t xml:space="preserve">Keyword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Location on page</w:t>
            </w:r>
          </w:p>
        </w:tc>
        <w:tc>
          <w:tcPr>
            <w:tcW w:type="dxa" w:w="65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Keywords placed</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Title tag</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data readiness, data modernization services</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Meta description</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data readiness assessment, data modernization services, data governance consulting, AI-ready, mid-size</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H1</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data readiness, AI-ready data</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Main answer (first 100 words)</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data readiness services, data readiness assessment, data governance consulting, natural language, no-code AI agents</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Workstreams H2 and cards</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data modernization services, data governance consulting, data management consulting, data strategy consulting, data quality consulting, data cleansing services, enterprise data integration, data engineering services, data platform modernization</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Fast Track section</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natural language query, no-code AI agent builder</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How-to stepper</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AI-ready data, data readiness</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Answer snippets</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what is AI-ready data, data readiness assessment, data modernization strategy, data harmonization, data governance consulting</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FAQ</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data readiness, data modernization services, data governance consulting, data quality framework, AI readiness assessment (comparison, linking to Solution 4)</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JSON-LD</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alternateName: Data Readiness Assessment, Data Modernization Services, Data Governance Consulting, Data Quality Consulting, Enterprise Data Integration</w:t>
            </w:r>
          </w:p>
        </w:tc>
      </w:tr>
    </w:tbl>
    <w:p>
      <w:pPr>
        <w:pStyle w:val="Heading1"/>
        <w:pBdr>
          <w:bottom w:val="single" w:color="FDBE00" w:sz="12" w:space="4"/>
        </w:pBdr>
      </w:pPr>
      <w:r>
        <w:t xml:space="preserve">8. GEO/AEO strategy</w:t>
      </w:r>
    </w:p>
    <w:p>
      <w:pPr>
        <w:spacing w:after="140" w:line="288"/>
      </w:pPr>
      <w:r>
        <w:rPr>
          <w:rFonts w:ascii="Aptos" w:cs="Aptos" w:eastAsia="Aptos" w:hAnsi="Aptos"/>
          <w:color w:val="2F282D"/>
          <w:sz w:val="21"/>
          <w:szCs w:val="21"/>
        </w:rPr>
        <w:t xml:space="preserve">The same principles as the AI-Powered Software Engineering page apply, adapted to data:</w:t>
      </w:r>
    </w:p>
    <w:p>
      <w:pPr>
        <w:pStyle w:val="ListParagraph"/>
        <w:numPr>
          <w:ilvl w:val="0"/>
          <w:numId w:val="4"/>
        </w:numPr>
        <w:spacing w:after="80" w:line="276"/>
      </w:pPr>
      <w:r>
        <w:rPr>
          <w:rFonts w:ascii="Aptos" w:cs="Aptos" w:eastAsia="Aptos" w:hAnsi="Aptos"/>
          <w:b/>
          <w:bCs/>
          <w:color w:val="2F282D"/>
          <w:sz w:val="21"/>
          <w:szCs w:val="21"/>
        </w:rPr>
        <w:t xml:space="preserve">One quotable definition first.</w:t>
      </w:r>
      <w:r>
        <w:rPr>
          <w:rFonts w:ascii="Aptos" w:cs="Aptos" w:eastAsia="Aptos" w:hAnsi="Aptos"/>
          <w:color w:val="2F282D"/>
          <w:sz w:val="21"/>
          <w:szCs w:val="21"/>
        </w:rPr>
        <w:t xml:space="preserve"> An answer of about 70 words under the hero names TEAM International, data readiness services, the assessment, the workstreams and the Fast Track option.</w:t>
      </w:r>
    </w:p>
    <w:p>
      <w:pPr>
        <w:pStyle w:val="ListParagraph"/>
        <w:numPr>
          <w:ilvl w:val="0"/>
          <w:numId w:val="4"/>
        </w:numPr>
        <w:spacing w:after="80" w:line="276"/>
      </w:pPr>
      <w:r>
        <w:rPr>
          <w:rFonts w:ascii="Aptos" w:cs="Aptos" w:eastAsia="Aptos" w:hAnsi="Aptos"/>
          <w:b/>
          <w:bCs/>
          <w:color w:val="2F282D"/>
          <w:sz w:val="21"/>
          <w:szCs w:val="21"/>
        </w:rPr>
        <w:t xml:space="preserve">Question-shaped headings with direct answers.</w:t>
      </w:r>
      <w:r>
        <w:rPr>
          <w:rFonts w:ascii="Aptos" w:cs="Aptos" w:eastAsia="Aptos" w:hAnsi="Aptos"/>
          <w:color w:val="2F282D"/>
          <w:sz w:val="21"/>
          <w:szCs w:val="21"/>
        </w:rPr>
        <w:t xml:space="preserve"> Six answer snippets and ten FAQs answer the exact questions buyers ask, such as "What is AI-ready data?" and "What does a data readiness assessment include?"</w:t>
      </w:r>
    </w:p>
    <w:p>
      <w:pPr>
        <w:pStyle w:val="ListParagraph"/>
        <w:numPr>
          <w:ilvl w:val="0"/>
          <w:numId w:val="4"/>
        </w:numPr>
        <w:spacing w:after="80" w:line="276"/>
      </w:pPr>
      <w:r>
        <w:rPr>
          <w:rFonts w:ascii="Aptos" w:cs="Aptos" w:eastAsia="Aptos" w:hAnsi="Aptos"/>
          <w:b/>
          <w:bCs/>
          <w:color w:val="2F282D"/>
          <w:sz w:val="21"/>
          <w:szCs w:val="21"/>
        </w:rPr>
        <w:t xml:space="preserve">Cited statistics.</w:t>
      </w:r>
      <w:r>
        <w:rPr>
          <w:rFonts w:ascii="Aptos" w:cs="Aptos" w:eastAsia="Aptos" w:hAnsi="Aptos"/>
          <w:color w:val="2F282D"/>
          <w:sz w:val="21"/>
          <w:szCs w:val="21"/>
        </w:rPr>
        <w:t xml:space="preserve"> The Gartner 60% prediction is quoted with its source; AI engines favor attributed numbers.</w:t>
      </w:r>
    </w:p>
    <w:p>
      <w:pPr>
        <w:pStyle w:val="ListParagraph"/>
        <w:numPr>
          <w:ilvl w:val="0"/>
          <w:numId w:val="4"/>
        </w:numPr>
        <w:spacing w:after="80" w:line="276"/>
      </w:pPr>
      <w:r>
        <w:rPr>
          <w:rFonts w:ascii="Aptos" w:cs="Aptos" w:eastAsia="Aptos" w:hAnsi="Aptos"/>
          <w:b/>
          <w:bCs/>
          <w:color w:val="2F282D"/>
          <w:sz w:val="21"/>
          <w:szCs w:val="21"/>
        </w:rPr>
        <w:t xml:space="preserve">Named deliverables.</w:t>
      </w:r>
      <w:r>
        <w:rPr>
          <w:rFonts w:ascii="Aptos" w:cs="Aptos" w:eastAsia="Aptos" w:hAnsi="Aptos"/>
          <w:color w:val="2F282D"/>
          <w:sz w:val="21"/>
          <w:szCs w:val="21"/>
        </w:rPr>
        <w:t xml:space="preserve"> "Data Readiness Scorecard" and "remediation and modernization roadmap" are concrete, repeatable terms that make TEAM's offer easy to describe and cite.</w:t>
      </w:r>
    </w:p>
    <w:p>
      <w:pPr>
        <w:pStyle w:val="ListParagraph"/>
        <w:numPr>
          <w:ilvl w:val="0"/>
          <w:numId w:val="4"/>
        </w:numPr>
        <w:spacing w:after="80" w:line="276"/>
      </w:pPr>
      <w:r>
        <w:rPr>
          <w:rFonts w:ascii="Aptos" w:cs="Aptos" w:eastAsia="Aptos" w:hAnsi="Aptos"/>
          <w:b/>
          <w:bCs/>
          <w:color w:val="2F282D"/>
          <w:sz w:val="21"/>
          <w:szCs w:val="21"/>
        </w:rPr>
        <w:t xml:space="preserve">A connected JSON-LD graph:</w:t>
      </w:r>
      <w:r>
        <w:rPr>
          <w:rFonts w:ascii="Aptos" w:cs="Aptos" w:eastAsia="Aptos" w:hAnsi="Aptos"/>
          <w:color w:val="2F282D"/>
          <w:sz w:val="21"/>
          <w:szCs w:val="21"/>
        </w:rPr>
        <w:t xml:space="preserve"> WebPage, Breadcrumb, Organization, Service (with the six offers), HowTo and FAQPage linked by @id.</w:t>
      </w:r>
    </w:p>
    <w:p>
      <w:pPr>
        <w:pStyle w:val="ListParagraph"/>
        <w:numPr>
          <w:ilvl w:val="0"/>
          <w:numId w:val="4"/>
        </w:numPr>
        <w:spacing w:after="80" w:line="276"/>
      </w:pPr>
      <w:r>
        <w:rPr>
          <w:rFonts w:ascii="Aptos" w:cs="Aptos" w:eastAsia="Aptos" w:hAnsi="Aptos"/>
          <w:b/>
          <w:bCs/>
          <w:color w:val="2F282D"/>
          <w:sz w:val="21"/>
          <w:szCs w:val="21"/>
        </w:rPr>
        <w:t xml:space="preserve">Everything in the HTML:</w:t>
      </w:r>
      <w:r>
        <w:rPr>
          <w:rFonts w:ascii="Aptos" w:cs="Aptos" w:eastAsia="Aptos" w:hAnsi="Aptos"/>
          <w:color w:val="2F282D"/>
          <w:sz w:val="21"/>
          <w:szCs w:val="21"/>
        </w:rPr>
        <w:t xml:space="preserve"> server-rendered page; FAQ answers stay in the HTML when collapsed.</w:t>
      </w:r>
    </w:p>
    <w:p>
      <w:pPr>
        <w:pStyle w:val="ListParagraph"/>
        <w:numPr>
          <w:ilvl w:val="0"/>
          <w:numId w:val="4"/>
        </w:numPr>
        <w:spacing w:after="80" w:line="276"/>
      </w:pPr>
      <w:r>
        <w:rPr>
          <w:rFonts w:ascii="Aptos" w:cs="Aptos" w:eastAsia="Aptos" w:hAnsi="Aptos"/>
          <w:b/>
          <w:bCs/>
          <w:color w:val="2F282D"/>
          <w:sz w:val="21"/>
          <w:szCs w:val="21"/>
        </w:rPr>
        <w:t xml:space="preserve">A comparison answer that links the portfolio.</w:t>
      </w:r>
      <w:r>
        <w:rPr>
          <w:rFonts w:ascii="Aptos" w:cs="Aptos" w:eastAsia="Aptos" w:hAnsi="Aptos"/>
          <w:color w:val="2F282D"/>
          <w:sz w:val="21"/>
          <w:szCs w:val="21"/>
        </w:rPr>
        <w:t xml:space="preserve"> The FAQ on data readiness vs AI readiness explains both and links to Solution 4, helping AI engines understand TEAM's offer structure.</w:t>
      </w:r>
    </w:p>
    <w:p>
      <w:pPr>
        <w:pStyle w:val="ListParagraph"/>
        <w:numPr>
          <w:ilvl w:val="0"/>
          <w:numId w:val="4"/>
        </w:numPr>
        <w:spacing w:after="80" w:line="276"/>
      </w:pPr>
      <w:r>
        <w:rPr>
          <w:rFonts w:ascii="Aptos" w:cs="Aptos" w:eastAsia="Aptos" w:hAnsi="Aptos"/>
          <w:b/>
          <w:bCs/>
          <w:color w:val="2F282D"/>
          <w:sz w:val="21"/>
          <w:szCs w:val="21"/>
        </w:rPr>
        <w:t xml:space="preserve">Proof to add:</w:t>
      </w:r>
      <w:r>
        <w:rPr>
          <w:rFonts w:ascii="Aptos" w:cs="Aptos" w:eastAsia="Aptos" w:hAnsi="Aptos"/>
          <w:color w:val="2F282D"/>
          <w:sz w:val="21"/>
          <w:szCs w:val="21"/>
        </w:rPr>
        <w:t xml:space="preserve"> one data readiness case study with before/after numbers (for example, duplicate rates, report trust, time to answer), and a named data lead.</w:t>
      </w:r>
    </w:p>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Note on Google rich results: </w:t>
      </w:r>
      <w:r>
        <w:rPr>
          <w:rFonts w:ascii="Aptos" w:cs="Aptos" w:eastAsia="Aptos" w:hAnsi="Aptos"/>
          <w:color w:val="2F282D"/>
          <w:sz w:val="21"/>
          <w:szCs w:val="21"/>
        </w:rPr>
        <w:t xml:space="preserve">Google shows FAQ rich results mainly for government and health sites and no longer shows HowTo rich results. The markup still helps AI engines and knowledge graphs understand the page.</w:t>
      </w:r>
    </w:p>
    <w:p>
      <w:pPr>
        <w:pStyle w:val="Heading1"/>
        <w:pBdr>
          <w:bottom w:val="single" w:color="FDBE00" w:sz="12" w:space="4"/>
        </w:pBdr>
      </w:pPr>
      <w:r>
        <w:t xml:space="preserve">9. Direct answer snippets</w:t>
      </w:r>
    </w:p>
    <w:p>
      <w:pPr>
        <w:pStyle w:val="Heading2"/>
      </w:pPr>
      <w:r>
        <w:t xml:space="preserve">Main direct answer (first text under the hero)</w:t>
      </w:r>
    </w:p>
    <w:p>
      <w:pPr>
        <w:keepNext/>
        <w:spacing w:after="60" w:before="160"/>
      </w:pPr>
      <w:r>
        <w:rPr>
          <w:rFonts w:ascii="Aptos" w:cs="Aptos" w:eastAsia="Aptos" w:hAnsi="Aptos"/>
          <w:b/>
          <w:bCs/>
          <w:color w:val="2F282D"/>
          <w:sz w:val="22"/>
          <w:szCs w:val="22"/>
        </w:rPr>
        <w:t xml:space="preserve">What are data readiness services at TEAM International?</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International's data readiness services make enterprise data trustworthy and AI-ready for mid-size and enterprise companies. We start with a data readiness assessment that produces a scorecard and a remediation roadmap, then deliver data quality, integration and modernization, and data governance consulting. A Fast Track platform option lets teams query most enterprise data in plain language and build no-code AI agents within weeks.</w:t>
      </w:r>
    </w:p>
    <w:p>
      <w:pPr>
        <w:pStyle w:val="Heading2"/>
      </w:pPr>
      <w:r>
        <w:t xml:space="preserve">Answer snippets (section "Straight answers")</w:t>
      </w:r>
    </w:p>
    <w:p>
      <w:pPr>
        <w:keepNext/>
        <w:spacing w:after="60" w:before="160"/>
      </w:pPr>
      <w:r>
        <w:rPr>
          <w:rFonts w:ascii="Aptos" w:cs="Aptos" w:eastAsia="Aptos" w:hAnsi="Aptos"/>
          <w:b/>
          <w:bCs/>
          <w:color w:val="2F282D"/>
          <w:sz w:val="22"/>
          <w:szCs w:val="22"/>
        </w:rPr>
        <w:t xml:space="preserve">What is AI-ready data?</w:t>
      </w:r>
      <w:r>
        <w:rPr>
          <w:rFonts w:ascii="Aptos" w:cs="Aptos" w:eastAsia="Aptos" w:hAnsi="Aptos"/>
          <w:i/>
          <w:iCs/>
          <w:color w:val="756B72"/>
          <w:sz w:val="18"/>
          <w:szCs w:val="18"/>
        </w:rPr>
        <w:t xml:space="preserve">   Targets: what is ai ready data</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AI-ready data is data that is accurate, consistent, well documented, governed and accessible enough for AI models and agents to use safely. It represents the business use case, carries clear definitions and lineage, and is monitored over time. Gartner predicts organizations will abandon 60% of AI projects unsupported by AI-ready data through 2026.</w:t>
      </w:r>
    </w:p>
    <w:p>
      <w:pPr>
        <w:keepNext/>
        <w:spacing w:after="60" w:before="160"/>
      </w:pPr>
      <w:r>
        <w:rPr>
          <w:rFonts w:ascii="Aptos" w:cs="Aptos" w:eastAsia="Aptos" w:hAnsi="Aptos"/>
          <w:b/>
          <w:bCs/>
          <w:color w:val="2F282D"/>
          <w:sz w:val="22"/>
          <w:szCs w:val="22"/>
        </w:rPr>
        <w:t xml:space="preserve">What does a data readiness assessment include?</w:t>
      </w:r>
      <w:r>
        <w:rPr>
          <w:rFonts w:ascii="Aptos" w:cs="Aptos" w:eastAsia="Aptos" w:hAnsi="Aptos"/>
          <w:i/>
          <w:iCs/>
          <w:color w:val="756B72"/>
          <w:sz w:val="18"/>
          <w:szCs w:val="18"/>
        </w:rPr>
        <w:t xml:space="preserve">   Targets: data readiness assessment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 data readiness assessment profiles your critical data sources and scores them on quality, integration, governance, security and fit for priority AI and analytics use cases. TEAM International delivers the results as a Data Readiness Scorecard plus a prioritized remediation and modernization roadmap with effort and impact for each gap.</w:t>
      </w:r>
    </w:p>
    <w:p>
      <w:pPr>
        <w:keepNext/>
        <w:spacing w:after="60" w:before="160"/>
      </w:pPr>
      <w:r>
        <w:rPr>
          <w:rFonts w:ascii="Aptos" w:cs="Aptos" w:eastAsia="Aptos" w:hAnsi="Aptos"/>
          <w:b/>
          <w:bCs/>
          <w:color w:val="2F282D"/>
          <w:sz w:val="22"/>
          <w:szCs w:val="22"/>
        </w:rPr>
        <w:t xml:space="preserve">What is a good data modernization strategy?</w:t>
      </w:r>
      <w:r>
        <w:rPr>
          <w:rFonts w:ascii="Aptos" w:cs="Aptos" w:eastAsia="Aptos" w:hAnsi="Aptos"/>
          <w:i/>
          <w:iCs/>
          <w:color w:val="756B72"/>
          <w:sz w:val="18"/>
          <w:szCs w:val="18"/>
        </w:rPr>
        <w:t xml:space="preserve">   Targets: data modernization strategy</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 good data modernization strategy starts from business use cases, not technology. Assess the current state, fix the data quality issues that block priority use cases, integrate silos into a modern cloud data platform in phases, and put governance in place as you go. Each phase should deliver usable data products, not just infrastructure.</w:t>
      </w:r>
    </w:p>
    <w:p>
      <w:pPr>
        <w:keepNext/>
        <w:spacing w:after="60" w:before="160"/>
      </w:pPr>
      <w:r>
        <w:rPr>
          <w:rFonts w:ascii="Aptos" w:cs="Aptos" w:eastAsia="Aptos" w:hAnsi="Aptos"/>
          <w:b/>
          <w:bCs/>
          <w:color w:val="2F282D"/>
          <w:sz w:val="22"/>
          <w:szCs w:val="22"/>
        </w:rPr>
        <w:t xml:space="preserve">What is data harmonization?</w:t>
      </w:r>
      <w:r>
        <w:rPr>
          <w:rFonts w:ascii="Aptos" w:cs="Aptos" w:eastAsia="Aptos" w:hAnsi="Aptos"/>
          <w:i/>
          <w:iCs/>
          <w:color w:val="756B72"/>
          <w:sz w:val="18"/>
          <w:szCs w:val="18"/>
        </w:rPr>
        <w:t xml:space="preserve">   Targets: data harmonization, what is data harmonization</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Data harmonization makes data from different systems consistent: the same customer, product or transaction is described with the same identifiers, formats and definitions everywhere. It combines cleansing, standardization, master data management and shared business definitions, and it is a prerequisite for reliable analytics and AI.</w:t>
      </w:r>
    </w:p>
    <w:p>
      <w:pPr>
        <w:keepNext/>
        <w:spacing w:after="60" w:before="160"/>
      </w:pPr>
      <w:r>
        <w:rPr>
          <w:rFonts w:ascii="Aptos" w:cs="Aptos" w:eastAsia="Aptos" w:hAnsi="Aptos"/>
          <w:b/>
          <w:bCs/>
          <w:color w:val="2F282D"/>
          <w:sz w:val="22"/>
          <w:szCs w:val="22"/>
        </w:rPr>
        <w:t xml:space="preserve">When do you need data governance consulting?</w:t>
      </w:r>
      <w:r>
        <w:rPr>
          <w:rFonts w:ascii="Aptos" w:cs="Aptos" w:eastAsia="Aptos" w:hAnsi="Aptos"/>
          <w:i/>
          <w:iCs/>
          <w:color w:val="756B72"/>
          <w:sz w:val="18"/>
          <w:szCs w:val="18"/>
        </w:rPr>
        <w:t xml:space="preserve">   Targets: data governance consulting</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You need data governance consulting when teams don't trust reports, nobody owns key data, sensitive data is hard to control, or AI projects can't get approved because data risk is unclear. A practical governance program sets ownership, policies, a data catalog, lineage and access controls sized to your organization, not a heavy bureaucracy.</w:t>
      </w:r>
    </w:p>
    <w:p>
      <w:pPr>
        <w:keepNext/>
        <w:spacing w:after="60" w:before="160"/>
      </w:pPr>
      <w:r>
        <w:rPr>
          <w:rFonts w:ascii="Aptos" w:cs="Aptos" w:eastAsia="Aptos" w:hAnsi="Aptos"/>
          <w:b/>
          <w:bCs/>
          <w:color w:val="2F282D"/>
          <w:sz w:val="22"/>
          <w:szCs w:val="22"/>
        </w:rPr>
        <w:t xml:space="preserve">Can we get value from AI before our data is fully modernized?</w:t>
      </w:r>
      <w:r>
        <w:rPr>
          <w:rFonts w:ascii="Aptos" w:cs="Aptos" w:eastAsia="Aptos" w:hAnsi="Aptos"/>
          <w:i/>
          <w:iCs/>
          <w:color w:val="756B72"/>
          <w:sz w:val="18"/>
          <w:szCs w:val="18"/>
        </w:rPr>
        <w:t xml:space="preserve">   Targets: Fast Track: natural language query, no-code AI agents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TEAM International's Fast Track platform option connects to most existing systems and lets business users query enterprise data in natural language and build no-code AI agents within weeks. It runs alongside the data readiness roadmap, delivering early value and showing where data quality work matters most.</w:t>
      </w:r>
    </w:p>
    <w:p>
      <w:pPr>
        <w:pStyle w:val="Heading2"/>
      </w:pPr>
      <w:r>
        <w:t xml:space="preserve">FAQ (10 questions)</w:t>
      </w:r>
    </w:p>
    <w:p>
      <w:pPr>
        <w:keepNext/>
        <w:spacing w:after="60" w:before="160"/>
      </w:pPr>
      <w:r>
        <w:rPr>
          <w:rFonts w:ascii="Aptos" w:cs="Aptos" w:eastAsia="Aptos" w:hAnsi="Aptos"/>
          <w:b/>
          <w:bCs/>
          <w:color w:val="2F282D"/>
          <w:sz w:val="22"/>
          <w:szCs w:val="22"/>
        </w:rPr>
        <w:t xml:space="preserve">1. What is data readiness?</w:t>
      </w:r>
      <w:r>
        <w:rPr>
          <w:rFonts w:ascii="Aptos" w:cs="Aptos" w:eastAsia="Aptos" w:hAnsi="Aptos"/>
          <w:i/>
          <w:iCs/>
          <w:color w:val="756B72"/>
          <w:sz w:val="18"/>
          <w:szCs w:val="18"/>
        </w:rPr>
        <w:t xml:space="preserve">   Targets: data readiness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Data readiness is how prepared an organization's data is to support a specific goal, such as analytics, automation or AI. It covers data quality, integration, governance, security and documentation. TEAM International measures it with a data readiness assessment and a Data Readiness Scorecard, then closes the gaps that matter most.</w:t>
      </w:r>
    </w:p>
    <w:p>
      <w:pPr>
        <w:keepNext/>
        <w:spacing w:after="60" w:before="160"/>
      </w:pPr>
      <w:r>
        <w:rPr>
          <w:rFonts w:ascii="Aptos" w:cs="Aptos" w:eastAsia="Aptos" w:hAnsi="Aptos"/>
          <w:b/>
          <w:bCs/>
          <w:color w:val="2F282D"/>
          <w:sz w:val="22"/>
          <w:szCs w:val="22"/>
        </w:rPr>
        <w:t xml:space="preserve">2. How long does a data readiness assessment take?</w:t>
      </w:r>
      <w:r>
        <w:rPr>
          <w:rFonts w:ascii="Aptos" w:cs="Aptos" w:eastAsia="Aptos" w:hAnsi="Aptos"/>
          <w:i/>
          <w:iCs/>
          <w:color w:val="756B72"/>
          <w:sz w:val="18"/>
          <w:szCs w:val="18"/>
        </w:rPr>
        <w:t xml:space="preserve">   Targets: data readiness assessment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 typical data readiness assessment takes three to four weeks for a defined set of priority use cases and data sources. It ends with a Data Readiness Scorecard and a prioritized remediation and modernization roadmap, so you can plan budget and sequence with facts.</w:t>
      </w:r>
    </w:p>
    <w:p>
      <w:pPr>
        <w:keepNext/>
        <w:spacing w:after="60" w:before="160"/>
      </w:pPr>
      <w:r>
        <w:rPr>
          <w:rFonts w:ascii="Aptos" w:cs="Aptos" w:eastAsia="Aptos" w:hAnsi="Aptos"/>
          <w:b/>
          <w:bCs/>
          <w:color w:val="2F282D"/>
          <w:sz w:val="22"/>
          <w:szCs w:val="22"/>
        </w:rPr>
        <w:t xml:space="preserve">3. What do your data modernization services include?</w:t>
      </w:r>
      <w:r>
        <w:rPr>
          <w:rFonts w:ascii="Aptos" w:cs="Aptos" w:eastAsia="Aptos" w:hAnsi="Aptos"/>
          <w:i/>
          <w:iCs/>
          <w:color w:val="756B72"/>
          <w:sz w:val="18"/>
          <w:szCs w:val="18"/>
        </w:rPr>
        <w:t xml:space="preserve">   Targets: data modernization services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International's data modernization services cover enterprise data integration, pipeline and API development, migration from legacy warehouses to a modern cloud data platform on Microsoft Azure or AWS, and data platform modernization, delivered in phases tied to priority analytics and AI use cases.</w:t>
      </w:r>
    </w:p>
    <w:p>
      <w:pPr>
        <w:keepNext/>
        <w:spacing w:after="60" w:before="160"/>
      </w:pPr>
      <w:r>
        <w:rPr>
          <w:rFonts w:ascii="Aptos" w:cs="Aptos" w:eastAsia="Aptos" w:hAnsi="Aptos"/>
          <w:b/>
          <w:bCs/>
          <w:color w:val="2F282D"/>
          <w:sz w:val="22"/>
          <w:szCs w:val="22"/>
        </w:rPr>
        <w:t xml:space="preserve">4. What does data governance consulting include?</w:t>
      </w:r>
      <w:r>
        <w:rPr>
          <w:rFonts w:ascii="Aptos" w:cs="Aptos" w:eastAsia="Aptos" w:hAnsi="Aptos"/>
          <w:i/>
          <w:iCs/>
          <w:color w:val="756B72"/>
          <w:sz w:val="18"/>
          <w:szCs w:val="18"/>
        </w:rPr>
        <w:t xml:space="preserve">   Targets: data governance consulting</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Our data governance consulting defines data ownership and stewardship, policies and standards, a data catalog and lineage, access control and privacy, and governance for AI use. We size the program to your organization so it improves trust without adding bureaucracy.</w:t>
      </w:r>
    </w:p>
    <w:p>
      <w:pPr>
        <w:keepNext/>
        <w:spacing w:after="60" w:before="160"/>
      </w:pPr>
      <w:r>
        <w:rPr>
          <w:rFonts w:ascii="Aptos" w:cs="Aptos" w:eastAsia="Aptos" w:hAnsi="Aptos"/>
          <w:b/>
          <w:bCs/>
          <w:color w:val="2F282D"/>
          <w:sz w:val="22"/>
          <w:szCs w:val="22"/>
        </w:rPr>
        <w:t xml:space="preserve">5. How do you improve data quality?</w:t>
      </w:r>
      <w:r>
        <w:rPr>
          <w:rFonts w:ascii="Aptos" w:cs="Aptos" w:eastAsia="Aptos" w:hAnsi="Aptos"/>
          <w:i/>
          <w:iCs/>
          <w:color w:val="756B72"/>
          <w:sz w:val="18"/>
          <w:szCs w:val="18"/>
        </w:rPr>
        <w:t xml:space="preserve">   Targets: data quality framework</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We apply a data quality framework: profile data to find errors, gaps and duplicates, fix them at the source where possible, standardize formats and definitions, set up master data for key entities, and add automated data quality checks and monitoring so quality stays high over time.</w:t>
      </w:r>
    </w:p>
    <w:p>
      <w:pPr>
        <w:keepNext/>
        <w:spacing w:after="60" w:before="160"/>
      </w:pPr>
      <w:r>
        <w:rPr>
          <w:rFonts w:ascii="Aptos" w:cs="Aptos" w:eastAsia="Aptos" w:hAnsi="Aptos"/>
          <w:b/>
          <w:bCs/>
          <w:color w:val="2F282D"/>
          <w:sz w:val="22"/>
          <w:szCs w:val="22"/>
        </w:rPr>
        <w:t xml:space="preserve">6. What is the Fast Track platform option?</w:t>
      </w:r>
      <w:r>
        <w:rPr>
          <w:rFonts w:ascii="Aptos" w:cs="Aptos" w:eastAsia="Aptos" w:hAnsi="Aptos"/>
          <w:i/>
          <w:iCs/>
          <w:color w:val="756B72"/>
          <w:sz w:val="18"/>
          <w:szCs w:val="18"/>
        </w:rPr>
        <w:t xml:space="preserve">   Targets: Fast Track platform</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The Fast Track platform option is a ready-to-use platform that connects to most enterprise data sources, lets business users ask questions in natural language, and lets teams build AI agents without code. It delivers value in weeks while the data readiness roadmap continues.</w:t>
      </w:r>
    </w:p>
    <w:p>
      <w:pPr>
        <w:keepNext/>
        <w:spacing w:after="60" w:before="160"/>
      </w:pPr>
      <w:r>
        <w:rPr>
          <w:rFonts w:ascii="Aptos" w:cs="Aptos" w:eastAsia="Aptos" w:hAnsi="Aptos"/>
          <w:b/>
          <w:bCs/>
          <w:color w:val="2F282D"/>
          <w:sz w:val="22"/>
          <w:szCs w:val="22"/>
        </w:rPr>
        <w:t xml:space="preserve">7. Do we need to replace our current data platform?</w:t>
      </w:r>
      <w:r>
        <w:rPr>
          <w:rFonts w:ascii="Aptos" w:cs="Aptos" w:eastAsia="Aptos" w:hAnsi="Aptos"/>
          <w:i/>
          <w:iCs/>
          <w:color w:val="756B72"/>
          <w:sz w:val="18"/>
          <w:szCs w:val="18"/>
        </w:rPr>
        <w:t xml:space="preserve">   Targets: GEO: replacement worry</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Usually not. Our data engineers work across Microsoft Azure and AWS, modernize around the platforms you already run, and replace only the components that block quality, scale or AI. The roadmap from the assessment shows what to keep, upgrade or retire.</w:t>
      </w:r>
    </w:p>
    <w:p>
      <w:pPr>
        <w:keepNext/>
        <w:spacing w:after="60" w:before="160"/>
      </w:pPr>
      <w:r>
        <w:rPr>
          <w:rFonts w:ascii="Aptos" w:cs="Aptos" w:eastAsia="Aptos" w:hAnsi="Aptos"/>
          <w:b/>
          <w:bCs/>
          <w:color w:val="2F282D"/>
          <w:sz w:val="22"/>
          <w:szCs w:val="22"/>
        </w:rPr>
        <w:t xml:space="preserve">8. How is data readiness different from an AI readiness assessment?</w:t>
      </w:r>
      <w:r>
        <w:rPr>
          <w:rFonts w:ascii="Aptos" w:cs="Aptos" w:eastAsia="Aptos" w:hAnsi="Aptos"/>
          <w:i/>
          <w:iCs/>
          <w:color w:val="756B72"/>
          <w:sz w:val="18"/>
          <w:szCs w:val="18"/>
        </w:rPr>
        <w:t xml:space="preserve">   Targets: AI readiness assessment (links to Solution 4)</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An AI readiness assessment looks at strategy, use cases, skills, governance and technology across the organization. A data readiness assessment goes deep on the data itself: quality, integration, governance and fitness for specific AI and analytics use cases. Many companies start with data readiness because data is the most common blocker.</w:t>
      </w:r>
    </w:p>
    <w:p>
      <w:pPr>
        <w:keepNext/>
        <w:spacing w:after="60" w:before="160"/>
      </w:pPr>
      <w:r>
        <w:rPr>
          <w:rFonts w:ascii="Aptos" w:cs="Aptos" w:eastAsia="Aptos" w:hAnsi="Aptos"/>
          <w:b/>
          <w:bCs/>
          <w:color w:val="2F282D"/>
          <w:sz w:val="22"/>
          <w:szCs w:val="22"/>
        </w:rPr>
        <w:t xml:space="preserve">9. Do you work with mid-size companies?</w:t>
      </w:r>
      <w:r>
        <w:rPr>
          <w:rFonts w:ascii="Aptos" w:cs="Aptos" w:eastAsia="Aptos" w:hAnsi="Aptos"/>
          <w:i/>
          <w:iCs/>
          <w:color w:val="756B72"/>
          <w:sz w:val="18"/>
          <w:szCs w:val="18"/>
        </w:rPr>
        <w:t xml:space="preserve">   Targets: mid-size prompts (GEO)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TEAM International has built enterprise data and software systems for more than 20 years and works with mid-size companies too. Senior teams, an assessment-first approach and the Fast Track option make data readiness affordable for mid-size budgets.</w:t>
      </w:r>
    </w:p>
    <w:p>
      <w:pPr>
        <w:keepNext/>
        <w:spacing w:after="60" w:before="160"/>
      </w:pPr>
      <w:r>
        <w:rPr>
          <w:rFonts w:ascii="Aptos" w:cs="Aptos" w:eastAsia="Aptos" w:hAnsi="Aptos"/>
          <w:b/>
          <w:bCs/>
          <w:color w:val="2F282D"/>
          <w:sz w:val="22"/>
          <w:szCs w:val="22"/>
        </w:rPr>
        <w:t xml:space="preserve">10. How do we start?</w:t>
      </w:r>
      <w:r>
        <w:rPr>
          <w:rFonts w:ascii="Aptos" w:cs="Aptos" w:eastAsia="Aptos" w:hAnsi="Aptos"/>
          <w:i/>
          <w:iCs/>
          <w:color w:val="756B72"/>
          <w:sz w:val="18"/>
          <w:szCs w:val="18"/>
        </w:rPr>
        <w:t xml:space="preserve">   Targets: brand + call to action</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Start with a data readiness assessment. In three to four weeks, TEAM International scores your priority data sources and delivers a Data Readiness Scorecard and a remediation and modernization roadmap, so you can decide next steps with clear scope and cost.</w:t>
      </w:r>
    </w:p>
    <w:p>
      <w:pPr>
        <w:pStyle w:val="Heading2"/>
      </w:pPr>
      <w:r>
        <w:t xml:space="preserve">How-to stepper (HowTo steps)</w:t>
      </w:r>
    </w:p>
    <w:p>
      <w:pPr>
        <w:pStyle w:val="ListParagraph"/>
        <w:numPr>
          <w:ilvl w:val="0"/>
          <w:numId w:val="5"/>
        </w:numPr>
        <w:spacing w:after="80" w:line="276"/>
      </w:pPr>
      <w:r>
        <w:rPr>
          <w:rFonts w:ascii="Aptos" w:cs="Aptos" w:eastAsia="Aptos" w:hAnsi="Aptos"/>
          <w:b/>
          <w:bCs/>
          <w:color w:val="2F282D"/>
          <w:sz w:val="21"/>
          <w:szCs w:val="21"/>
        </w:rPr>
        <w:t xml:space="preserve">Assess data readiness.</w:t>
      </w:r>
      <w:r>
        <w:rPr>
          <w:rFonts w:ascii="Aptos" w:cs="Aptos" w:eastAsia="Aptos" w:hAnsi="Aptos"/>
          <w:color w:val="2F282D"/>
          <w:sz w:val="21"/>
          <w:szCs w:val="21"/>
        </w:rPr>
        <w:t xml:space="preserve"> We profile your key data sources and score quality, integration, governance, security and AI fit against your priority use cases. Outcome: Data Readiness Scorecard.</w:t>
      </w:r>
    </w:p>
    <w:p>
      <w:pPr>
        <w:pStyle w:val="ListParagraph"/>
        <w:numPr>
          <w:ilvl w:val="0"/>
          <w:numId w:val="5"/>
        </w:numPr>
        <w:spacing w:after="80" w:line="276"/>
      </w:pPr>
      <w:r>
        <w:rPr>
          <w:rFonts w:ascii="Aptos" w:cs="Aptos" w:eastAsia="Aptos" w:hAnsi="Aptos"/>
          <w:b/>
          <w:bCs/>
          <w:color w:val="2F282D"/>
          <w:sz w:val="21"/>
          <w:szCs w:val="21"/>
        </w:rPr>
        <w:t xml:space="preserve">Prioritize the roadmap.</w:t>
      </w:r>
      <w:r>
        <w:rPr>
          <w:rFonts w:ascii="Aptos" w:cs="Aptos" w:eastAsia="Aptos" w:hAnsi="Aptos"/>
          <w:color w:val="2F282D"/>
          <w:sz w:val="21"/>
          <w:szCs w:val="21"/>
        </w:rPr>
        <w:t xml:space="preserve"> We rank gaps by business impact and effort and turn them into a phased remediation and modernization plan. Outcome: Remediation and modernization roadmap.</w:t>
      </w:r>
    </w:p>
    <w:p>
      <w:pPr>
        <w:pStyle w:val="ListParagraph"/>
        <w:numPr>
          <w:ilvl w:val="0"/>
          <w:numId w:val="5"/>
        </w:numPr>
        <w:spacing w:after="80" w:line="276"/>
      </w:pPr>
      <w:r>
        <w:rPr>
          <w:rFonts w:ascii="Aptos" w:cs="Aptos" w:eastAsia="Aptos" w:hAnsi="Aptos"/>
          <w:b/>
          <w:bCs/>
          <w:color w:val="2F282D"/>
          <w:sz w:val="21"/>
          <w:szCs w:val="21"/>
        </w:rPr>
        <w:t xml:space="preserve">Fix quality and harmonize.</w:t>
      </w:r>
      <w:r>
        <w:rPr>
          <w:rFonts w:ascii="Aptos" w:cs="Aptos" w:eastAsia="Aptos" w:hAnsi="Aptos"/>
          <w:color w:val="2F282D"/>
          <w:sz w:val="21"/>
          <w:szCs w:val="21"/>
        </w:rPr>
        <w:t xml:space="preserve"> We cleanse, deduplicate and standardize critical data, and agree on shared definitions with the business. Outcome: Trusted, standardized data.</w:t>
      </w:r>
    </w:p>
    <w:p>
      <w:pPr>
        <w:pStyle w:val="ListParagraph"/>
        <w:numPr>
          <w:ilvl w:val="0"/>
          <w:numId w:val="5"/>
        </w:numPr>
        <w:spacing w:after="80" w:line="276"/>
      </w:pPr>
      <w:r>
        <w:rPr>
          <w:rFonts w:ascii="Aptos" w:cs="Aptos" w:eastAsia="Aptos" w:hAnsi="Aptos"/>
          <w:b/>
          <w:bCs/>
          <w:color w:val="2F282D"/>
          <w:sz w:val="21"/>
          <w:szCs w:val="21"/>
        </w:rPr>
        <w:t xml:space="preserve">Integrate and modernize.</w:t>
      </w:r>
      <w:r>
        <w:rPr>
          <w:rFonts w:ascii="Aptos" w:cs="Aptos" w:eastAsia="Aptos" w:hAnsi="Aptos"/>
          <w:color w:val="2F282D"/>
          <w:sz w:val="21"/>
          <w:szCs w:val="21"/>
        </w:rPr>
        <w:t xml:space="preserve"> We connect silos through pipelines and APIs and move workloads to a modern cloud data platform. Outcome: An integrated enterprise data foundation.</w:t>
      </w:r>
    </w:p>
    <w:p>
      <w:pPr>
        <w:pStyle w:val="ListParagraph"/>
        <w:numPr>
          <w:ilvl w:val="0"/>
          <w:numId w:val="5"/>
        </w:numPr>
        <w:spacing w:after="80" w:line="276"/>
      </w:pPr>
      <w:r>
        <w:rPr>
          <w:rFonts w:ascii="Aptos" w:cs="Aptos" w:eastAsia="Aptos" w:hAnsi="Aptos"/>
          <w:b/>
          <w:bCs/>
          <w:color w:val="2F282D"/>
          <w:sz w:val="21"/>
          <w:szCs w:val="21"/>
        </w:rPr>
        <w:t xml:space="preserve">Govern and secure.</w:t>
      </w:r>
      <w:r>
        <w:rPr>
          <w:rFonts w:ascii="Aptos" w:cs="Aptos" w:eastAsia="Aptos" w:hAnsi="Aptos"/>
          <w:color w:val="2F282D"/>
          <w:sz w:val="21"/>
          <w:szCs w:val="21"/>
        </w:rPr>
        <w:t xml:space="preserve"> We set ownership, policies, catalog, lineage and access controls so data is discoverable and safe to use with AI. Outcome: Governed, secure enterprise data.</w:t>
      </w:r>
    </w:p>
    <w:p>
      <w:pPr>
        <w:pStyle w:val="ListParagraph"/>
        <w:numPr>
          <w:ilvl w:val="0"/>
          <w:numId w:val="5"/>
        </w:numPr>
        <w:spacing w:after="80" w:line="276"/>
      </w:pPr>
      <w:r>
        <w:rPr>
          <w:rFonts w:ascii="Aptos" w:cs="Aptos" w:eastAsia="Aptos" w:hAnsi="Aptos"/>
          <w:b/>
          <w:bCs/>
          <w:color w:val="2F282D"/>
          <w:sz w:val="21"/>
          <w:szCs w:val="21"/>
        </w:rPr>
        <w:t xml:space="preserve">Deliver AI-ready data products.</w:t>
      </w:r>
      <w:r>
        <w:rPr>
          <w:rFonts w:ascii="Aptos" w:cs="Aptos" w:eastAsia="Aptos" w:hAnsi="Aptos"/>
          <w:color w:val="2F282D"/>
          <w:sz w:val="21"/>
          <w:szCs w:val="21"/>
        </w:rPr>
        <w:t xml:space="preserve"> We package curated, documented data for analytics, BI and AI use cases, with quality monitored continuously. Outcome: Analytics-ready and AI-ready data products.</w:t>
      </w:r>
    </w:p>
    <w:p>
      <w:pPr>
        <w:pStyle w:val="Heading1"/>
        <w:pBdr>
          <w:bottom w:val="single" w:color="FDBE00" w:sz="12" w:space="4"/>
        </w:pBdr>
      </w:pPr>
      <w:r>
        <w:t xml:space="preserve">10. JSON-LD snippets</w:t>
      </w:r>
    </w:p>
    <w:p>
      <w:pPr>
        <w:spacing w:after="140" w:line="288"/>
      </w:pPr>
      <w:r>
        <w:rPr>
          <w:rFonts w:ascii="Aptos" w:cs="Aptos" w:eastAsia="Aptos" w:hAnsi="Aptos"/>
          <w:color w:val="2F282D"/>
          <w:sz w:val="21"/>
          <w:szCs w:val="21"/>
        </w:rPr>
        <w:t xml:space="preserve">Generated from the page content, so copy and markup stay in sync. URLs assume the page lives at www.teaminternational.com/en/solutions/data-readiness. On the page these ship as one @graph; they are split here for readability.</w:t>
      </w:r>
    </w:p>
    <w:p>
      <w:pPr>
        <w:pStyle w:val="Heading2"/>
      </w:pPr>
      <w:r>
        <w:t xml:space="preserve">WebPage, Breadcrumb, Organization and Service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"@graph":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"WebPage",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"https://www.teaminternational.com/en/solutions/data-readiness#webpage",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"https://www.teaminternational.com/en/solutions/data-readiness",</w:t>
      </w:r>
    </w:p>
    <w:p>
      <w:pPr>
        <w:shd w:fill="F4F1F3" w:color="auto" w:val="clear"/>
        <w:spacing w:after="0" w:line="240"/>
        <w:ind w:left="120" w:right="120"/>
      </w:pPr>
      <w:r>
        <w:rPr>
          <w:rFonts w:ascii="Consolas" w:cs="Consolas" w:eastAsia="Consolas" w:hAnsi="Consolas"/>
          <w:color w:val="2F282D"/>
          <w:sz w:val="15"/>
          <w:szCs w:val="15"/>
        </w:rPr>
        <w:t xml:space="preserve">      "name": "Data Readiness Services: Assessment, Modernization and Governance for AI-Ready Data",</w:t>
      </w:r>
    </w:p>
    <w:p>
      <w:pPr>
        <w:shd w:fill="F4F1F3" w:color="auto" w:val="clear"/>
        <w:spacing w:after="0" w:line="240"/>
        <w:ind w:left="120" w:right="120"/>
      </w:pPr>
      <w:r>
        <w:rPr>
          <w:rFonts w:ascii="Consolas" w:cs="Consolas" w:eastAsia="Consolas" w:hAnsi="Consolas"/>
          <w:color w:val="2F282D"/>
          <w:sz w:val="15"/>
          <w:szCs w:val="15"/>
        </w:rPr>
        <w:t xml:space="preserve">      "description": "Data readiness assessment, data modernization services and data governance consulting that make enterprise data AI-ready for mid-size companies.",</w:t>
      </w:r>
    </w:p>
    <w:p>
      <w:pPr>
        <w:shd w:fill="F4F1F3" w:color="auto" w:val="clear"/>
        <w:spacing w:after="0" w:line="240"/>
        <w:ind w:left="120" w:right="120"/>
      </w:pPr>
      <w:r>
        <w:rPr>
          <w:rFonts w:ascii="Consolas" w:cs="Consolas" w:eastAsia="Consolas" w:hAnsi="Consolas"/>
          <w:color w:val="2F282D"/>
          <w:sz w:val="15"/>
          <w:szCs w:val="15"/>
        </w:rPr>
        <w:t xml:space="preserve">      "inLanguage": "en",</w:t>
      </w:r>
    </w:p>
    <w:p>
      <w:pPr>
        <w:shd w:fill="F4F1F3" w:color="auto" w:val="clear"/>
        <w:spacing w:after="0" w:line="240"/>
        <w:ind w:left="120" w:right="120"/>
      </w:pPr>
      <w:r>
        <w:rPr>
          <w:rFonts w:ascii="Consolas" w:cs="Consolas" w:eastAsia="Consolas" w:hAnsi="Consolas"/>
          <w:color w:val="2F282D"/>
          <w:sz w:val="15"/>
          <w:szCs w:val="15"/>
        </w:rPr>
        <w:t xml:space="preserve">      "about":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"https://www.teaminternational.com/en/solutions/data-readiness#service"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"breadcrumb":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"https://www.teaminternational.com/en/solutions/data-readiness#breadcrumb"</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"hasPart":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"https://www.teaminternational.com/en/solutions/data-readiness#howto"</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"https://www.teaminternational.com/en/solutions/data-readiness#faq"</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"BreadcrumbList",</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"https://www.teaminternational.com/en/solutions/data-readiness#breadcrumb",</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"Home",</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"Solutions",</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"https://www.teaminternational.com/en/solutions"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"Data Readiness"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"Organization",</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"name": "TEAM International",</w:t>
      </w:r>
    </w:p>
    <w:p>
      <w:pPr>
        <w:shd w:fill="F4F1F3" w:color="auto" w:val="clear"/>
        <w:spacing w:after="0" w:line="240"/>
        <w:ind w:left="120" w:right="120"/>
      </w:pPr>
      <w:r>
        <w:rPr>
          <w:rFonts w:ascii="Consolas" w:cs="Consolas" w:eastAsia="Consolas" w:hAnsi="Consolas"/>
          <w:color w:val="2F282D"/>
          <w:sz w:val="15"/>
          <w:szCs w:val="15"/>
        </w:rPr>
        <w:t xml:space="preserve">      "legalName": "Team International Services Inc.",</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"https://www.teaminternational.com/en/solutions/data-readiness#service",</w:t>
      </w:r>
    </w:p>
    <w:p>
      <w:pPr>
        <w:shd w:fill="F4F1F3" w:color="auto" w:val="clear"/>
        <w:spacing w:after="0" w:line="240"/>
        <w:ind w:left="120" w:right="120"/>
      </w:pPr>
      <w:r>
        <w:rPr>
          <w:rFonts w:ascii="Consolas" w:cs="Consolas" w:eastAsia="Consolas" w:hAnsi="Consolas"/>
          <w:color w:val="2F282D"/>
          <w:sz w:val="15"/>
          <w:szCs w:val="15"/>
        </w:rPr>
        <w:t xml:space="preserve">      "name": "Data Readiness",</w:t>
      </w:r>
    </w:p>
    <w:p>
      <w:pPr>
        <w:shd w:fill="F4F1F3" w:color="auto" w:val="clear"/>
        <w:spacing w:after="0" w:line="240"/>
        <w:ind w:left="120" w:right="120"/>
      </w:pPr>
      <w:r>
        <w:rPr>
          <w:rFonts w:ascii="Consolas" w:cs="Consolas" w:eastAsia="Consolas" w:hAnsi="Consolas"/>
          <w:color w:val="2F282D"/>
          <w:sz w:val="15"/>
          <w:szCs w:val="15"/>
        </w:rPr>
        <w:t xml:space="preserve">      "alternateName": [</w:t>
      </w:r>
    </w:p>
    <w:p>
      <w:pPr>
        <w:shd w:fill="F4F1F3" w:color="auto" w:val="clear"/>
        <w:spacing w:after="0" w:line="240"/>
        <w:ind w:left="120" w:right="120"/>
      </w:pPr>
      <w:r>
        <w:rPr>
          <w:rFonts w:ascii="Consolas" w:cs="Consolas" w:eastAsia="Consolas" w:hAnsi="Consolas"/>
          <w:color w:val="2F282D"/>
          <w:sz w:val="15"/>
          <w:szCs w:val="15"/>
        </w:rPr>
        <w:t xml:space="preserve">        "Data Readiness Assessment",</w:t>
      </w:r>
    </w:p>
    <w:p>
      <w:pPr>
        <w:shd w:fill="F4F1F3" w:color="auto" w:val="clear"/>
        <w:spacing w:after="0" w:line="240"/>
        <w:ind w:left="120" w:right="120"/>
      </w:pPr>
      <w:r>
        <w:rPr>
          <w:rFonts w:ascii="Consolas" w:cs="Consolas" w:eastAsia="Consolas" w:hAnsi="Consolas"/>
          <w:color w:val="2F282D"/>
          <w:sz w:val="15"/>
          <w:szCs w:val="15"/>
        </w:rPr>
        <w:t xml:space="preserve">        "Data Modernization Services",</w:t>
      </w:r>
    </w:p>
    <w:p>
      <w:pPr>
        <w:shd w:fill="F4F1F3" w:color="auto" w:val="clear"/>
        <w:spacing w:after="0" w:line="240"/>
        <w:ind w:left="120" w:right="120"/>
      </w:pPr>
      <w:r>
        <w:rPr>
          <w:rFonts w:ascii="Consolas" w:cs="Consolas" w:eastAsia="Consolas" w:hAnsi="Consolas"/>
          <w:color w:val="2F282D"/>
          <w:sz w:val="15"/>
          <w:szCs w:val="15"/>
        </w:rPr>
        <w:t xml:space="preserve">        "Data Governance Consulting",</w:t>
      </w:r>
    </w:p>
    <w:p>
      <w:pPr>
        <w:shd w:fill="F4F1F3" w:color="auto" w:val="clear"/>
        <w:spacing w:after="0" w:line="240"/>
        <w:ind w:left="120" w:right="120"/>
      </w:pPr>
      <w:r>
        <w:rPr>
          <w:rFonts w:ascii="Consolas" w:cs="Consolas" w:eastAsia="Consolas" w:hAnsi="Consolas"/>
          <w:color w:val="2F282D"/>
          <w:sz w:val="15"/>
          <w:szCs w:val="15"/>
        </w:rPr>
        <w:t xml:space="preserve">        "Data Quality Consulting",</w:t>
      </w:r>
    </w:p>
    <w:p>
      <w:pPr>
        <w:shd w:fill="F4F1F3" w:color="auto" w:val="clear"/>
        <w:spacing w:after="0" w:line="240"/>
        <w:ind w:left="120" w:right="120"/>
      </w:pPr>
      <w:r>
        <w:rPr>
          <w:rFonts w:ascii="Consolas" w:cs="Consolas" w:eastAsia="Consolas" w:hAnsi="Consolas"/>
          <w:color w:val="2F282D"/>
          <w:sz w:val="15"/>
          <w:szCs w:val="15"/>
        </w:rPr>
        <w:t xml:space="preserve">        "Enterprise Data Integration",</w:t>
      </w:r>
    </w:p>
    <w:p>
      <w:pPr>
        <w:shd w:fill="F4F1F3" w:color="auto" w:val="clear"/>
        <w:spacing w:after="0" w:line="240"/>
        <w:ind w:left="120" w:right="120"/>
      </w:pPr>
      <w:r>
        <w:rPr>
          <w:rFonts w:ascii="Consolas" w:cs="Consolas" w:eastAsia="Consolas" w:hAnsi="Consolas"/>
          <w:color w:val="2F282D"/>
          <w:sz w:val="15"/>
          <w:szCs w:val="15"/>
        </w:rPr>
        <w:t xml:space="preserve">        "AI-Ready Data Services"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"serviceType": "Data readiness assessment, data modernization and data governance consulting",</w:t>
      </w:r>
    </w:p>
    <w:p>
      <w:pPr>
        <w:shd w:fill="F4F1F3" w:color="auto" w:val="clear"/>
        <w:spacing w:after="0" w:line="240"/>
        <w:ind w:left="120" w:right="120"/>
      </w:pPr>
      <w:r>
        <w:rPr>
          <w:rFonts w:ascii="Consolas" w:cs="Consolas" w:eastAsia="Consolas" w:hAnsi="Consolas"/>
          <w:color w:val="2F282D"/>
          <w:sz w:val="15"/>
          <w:szCs w:val="15"/>
        </w:rPr>
        <w:t xml:space="preserve">      "description": "TEAM International assesses enterprise data readiness, then improves data quality and harmonization, integrates and modernizes data platforms, implements data governance, and delivers analytics-ready and AI-ready data products, with an optional Fast Track platform for natural language query and no-code AI agents.",</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"audience": {</w:t>
      </w:r>
    </w:p>
    <w:p>
      <w:pPr>
        <w:shd w:fill="F4F1F3" w:color="auto" w:val="clear"/>
        <w:spacing w:after="0" w:line="240"/>
        <w:ind w:left="120" w:right="120"/>
      </w:pPr>
      <w:r>
        <w:rPr>
          <w:rFonts w:ascii="Consolas" w:cs="Consolas" w:eastAsia="Consolas" w:hAnsi="Consolas"/>
          <w:color w:val="2F282D"/>
          <w:sz w:val="15"/>
          <w:szCs w:val="15"/>
        </w:rPr>
        <w:t xml:space="preserve">        "@type": "BusinessAudience",</w:t>
      </w:r>
    </w:p>
    <w:p>
      <w:pPr>
        <w:shd w:fill="F4F1F3" w:color="auto" w:val="clear"/>
        <w:spacing w:after="0" w:line="240"/>
        <w:ind w:left="120" w:right="120"/>
      </w:pPr>
      <w:r>
        <w:rPr>
          <w:rFonts w:ascii="Consolas" w:cs="Consolas" w:eastAsia="Consolas" w:hAnsi="Consolas"/>
          <w:color w:val="2F282D"/>
          <w:sz w:val="15"/>
          <w:szCs w:val="15"/>
        </w:rPr>
        <w:t xml:space="preserve">        "audienceType": "Mid-size and enterprise companies"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"areaServed":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States"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"Canada"</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Kingdom"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"Germany"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"Place",</w:t>
      </w:r>
    </w:p>
    <w:p>
      <w:pPr>
        <w:shd w:fill="F4F1F3" w:color="auto" w:val="clear"/>
        <w:spacing w:after="0" w:line="240"/>
        <w:ind w:left="120" w:right="120"/>
      </w:pPr>
      <w:r>
        <w:rPr>
          <w:rFonts w:ascii="Consolas" w:cs="Consolas" w:eastAsia="Consolas" w:hAnsi="Consolas"/>
          <w:color w:val="2F282D"/>
          <w:sz w:val="15"/>
          <w:szCs w:val="15"/>
        </w:rPr>
        <w:t xml:space="preserve">          "name": "European Union"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"hasOfferCatalog": {</w:t>
      </w:r>
    </w:p>
    <w:p>
      <w:pPr>
        <w:shd w:fill="F4F1F3" w:color="auto" w:val="clear"/>
        <w:spacing w:after="0" w:line="240"/>
        <w:ind w:left="120" w:right="120"/>
      </w:pPr>
      <w:r>
        <w:rPr>
          <w:rFonts w:ascii="Consolas" w:cs="Consolas" w:eastAsia="Consolas" w:hAnsi="Consolas"/>
          <w:color w:val="2F282D"/>
          <w:sz w:val="15"/>
          <w:szCs w:val="15"/>
        </w:rPr>
        <w:t xml:space="preserve">        "@type": "OfferCatalog",</w:t>
      </w:r>
    </w:p>
    <w:p>
      <w:pPr>
        <w:shd w:fill="F4F1F3" w:color="auto" w:val="clear"/>
        <w:spacing w:after="0" w:line="240"/>
        <w:ind w:left="120" w:right="120"/>
      </w:pPr>
      <w:r>
        <w:rPr>
          <w:rFonts w:ascii="Consolas" w:cs="Consolas" w:eastAsia="Consolas" w:hAnsi="Consolas"/>
          <w:color w:val="2F282D"/>
          <w:sz w:val="15"/>
          <w:szCs w:val="15"/>
        </w:rPr>
        <w:t xml:space="preserve">        "name": "Data modernization services and data governance consulting, end to end",</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"Discovery &amp; assessment",</w:t>
      </w:r>
    </w:p>
    <w:p>
      <w:pPr>
        <w:shd w:fill="F4F1F3" w:color="auto" w:val="clear"/>
        <w:spacing w:after="0" w:line="240"/>
        <w:ind w:left="120" w:right="120"/>
      </w:pPr>
      <w:r>
        <w:rPr>
          <w:rFonts w:ascii="Consolas" w:cs="Consolas" w:eastAsia="Consolas" w:hAnsi="Consolas"/>
          <w:color w:val="2F282D"/>
          <w:sz w:val="15"/>
          <w:szCs w:val="15"/>
        </w:rPr>
        <w:t xml:space="preserve">              "description": "Data strategy consulting that starts with facts: a data readiness assessment across quality, integration, governance, security and AI fit, delivered as a Data Readiness Scorecard and a remediation and modernization roadmap. Outcome: Data Readiness Scorecard and roadmap."</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"Quality &amp; harmonization",</w:t>
      </w:r>
    </w:p>
    <w:p>
      <w:pPr>
        <w:shd w:fill="F4F1F3" w:color="auto" w:val="clear"/>
        <w:spacing w:after="0" w:line="240"/>
        <w:ind w:left="120" w:right="120"/>
      </w:pPr>
      <w:r>
        <w:rPr>
          <w:rFonts w:ascii="Consolas" w:cs="Consolas" w:eastAsia="Consolas" w:hAnsi="Consolas"/>
          <w:color w:val="2F282D"/>
          <w:sz w:val="15"/>
          <w:szCs w:val="15"/>
        </w:rPr>
        <w:t xml:space="preserve">              "description": "Data quality consulting and data cleansing services: profiling, deduplication, master data and common definitions, so every system describes customers, products and transactions the same way. Outcome: Trusted, standardized data."</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"Integration &amp; modernization",</w:t>
      </w:r>
    </w:p>
    <w:p>
      <w:pPr>
        <w:shd w:fill="F4F1F3" w:color="auto" w:val="clear"/>
        <w:spacing w:after="0" w:line="240"/>
        <w:ind w:left="120" w:right="120"/>
      </w:pPr>
      <w:r>
        <w:rPr>
          <w:rFonts w:ascii="Consolas" w:cs="Consolas" w:eastAsia="Consolas" w:hAnsi="Consolas"/>
          <w:color w:val="2F282D"/>
          <w:sz w:val="15"/>
          <w:szCs w:val="15"/>
        </w:rPr>
        <w:t xml:space="preserve">              "description": "Enterprise data integration, data engineering services and data platform modernization on Microsoft Azure or AWS: pipelines, APIs and a cloud data platform that replace silos and brittle legacy warehouses. Outcome: An integrated enterprise data foundation."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"Governance &amp; trust",</w:t>
      </w:r>
    </w:p>
    <w:p>
      <w:pPr>
        <w:shd w:fill="F4F1F3" w:color="auto" w:val="clear"/>
        <w:spacing w:after="0" w:line="240"/>
        <w:ind w:left="120" w:right="120"/>
      </w:pPr>
      <w:r>
        <w:rPr>
          <w:rFonts w:ascii="Consolas" w:cs="Consolas" w:eastAsia="Consolas" w:hAnsi="Consolas"/>
          <w:color w:val="2F282D"/>
          <w:sz w:val="15"/>
          <w:szCs w:val="15"/>
        </w:rPr>
        <w:t xml:space="preserve">              "description": "Data governance consulting and services that set ownership, policies, catalog, lineage, access control and privacy, built for AI use as well as reporting. Outcome: Governed, discoverable and secure enterprise data."</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&amp; analytics preparation",</w:t>
      </w:r>
    </w:p>
    <w:p>
      <w:pPr>
        <w:shd w:fill="F4F1F3" w:color="auto" w:val="clear"/>
        <w:spacing w:after="0" w:line="240"/>
        <w:ind w:left="120" w:right="120"/>
      </w:pPr>
      <w:r>
        <w:rPr>
          <w:rFonts w:ascii="Consolas" w:cs="Consolas" w:eastAsia="Consolas" w:hAnsi="Consolas"/>
          <w:color w:val="2F282D"/>
          <w:sz w:val="15"/>
          <w:szCs w:val="15"/>
        </w:rPr>
        <w:t xml:space="preserve">              "description": "Curated, documented data products with quality checks and semantic definitions that analysts, BI tools and AI models can use directly. Outcome: Analytics-ready and AI-ready data products."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"Fast Track platform option",</w:t>
      </w:r>
    </w:p>
    <w:p>
      <w:pPr>
        <w:shd w:fill="F4F1F3" w:color="auto" w:val="clear"/>
        <w:spacing w:after="0" w:line="240"/>
        <w:ind w:left="120" w:right="120"/>
      </w:pPr>
      <w:r>
        <w:rPr>
          <w:rFonts w:ascii="Consolas" w:cs="Consolas" w:eastAsia="Consolas" w:hAnsi="Consolas"/>
          <w:color w:val="2F282D"/>
          <w:sz w:val="15"/>
          <w:szCs w:val="15"/>
        </w:rPr>
        <w:t xml:space="preserve">              "description": "Modernizing data takes months. The Fast Track platform connects to most of your existing systems, lets business users query enterprise data in natural language, and lets teams build AI agents without code. It delivers value while the foundation workstreams continue, and shows exactly where data quality needs work."</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HowTo (6 steps to AI-ready data)</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"HowTo",</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"https://www.teaminternational.com/en/solutions/data-readiness#howto",</w:t>
      </w:r>
    </w:p>
    <w:p>
      <w:pPr>
        <w:shd w:fill="F4F1F3" w:color="auto" w:val="clear"/>
        <w:spacing w:after="0" w:line="240"/>
        <w:ind w:left="120" w:right="120"/>
      </w:pPr>
      <w:r>
        <w:rPr>
          <w:rFonts w:ascii="Consolas" w:cs="Consolas" w:eastAsia="Consolas" w:hAnsi="Consolas"/>
          <w:color w:val="2F282D"/>
          <w:sz w:val="15"/>
          <w:szCs w:val="15"/>
        </w:rPr>
        <w:t xml:space="preserve">  "name": "How to make enterprise data AI-ready, in 6 steps",</w:t>
      </w:r>
    </w:p>
    <w:p>
      <w:pPr>
        <w:shd w:fill="F4F1F3" w:color="auto" w:val="clear"/>
        <w:spacing w:after="0" w:line="240"/>
        <w:ind w:left="120" w:right="120"/>
      </w:pPr>
      <w:r>
        <w:rPr>
          <w:rFonts w:ascii="Consolas" w:cs="Consolas" w:eastAsia="Consolas" w:hAnsi="Consolas"/>
          <w:color w:val="2F282D"/>
          <w:sz w:val="15"/>
          <w:szCs w:val="15"/>
        </w:rPr>
        <w:t xml:space="preserve">  "description": "Start with facts, fix what matters most, and deliver value at every step.",</w:t>
      </w:r>
    </w:p>
    <w:p>
      <w:pPr>
        <w:shd w:fill="F4F1F3" w:color="auto" w:val="clear"/>
        <w:spacing w:after="0" w:line="240"/>
        <w:ind w:left="120" w:right="120"/>
      </w:pPr>
      <w:r>
        <w:rPr>
          <w:rFonts w:ascii="Consolas" w:cs="Consolas" w:eastAsia="Consolas" w:hAnsi="Consolas"/>
          <w:color w:val="2F282D"/>
          <w:sz w:val="15"/>
          <w:szCs w:val="15"/>
        </w:rPr>
        <w:t xml:space="preserve">  "step":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"Assess data readiness",</w:t>
      </w:r>
    </w:p>
    <w:p>
      <w:pPr>
        <w:shd w:fill="F4F1F3" w:color="auto" w:val="clear"/>
        <w:spacing w:after="0" w:line="240"/>
        <w:ind w:left="120" w:right="120"/>
      </w:pPr>
      <w:r>
        <w:rPr>
          <w:rFonts w:ascii="Consolas" w:cs="Consolas" w:eastAsia="Consolas" w:hAnsi="Consolas"/>
          <w:color w:val="2F282D"/>
          <w:sz w:val="15"/>
          <w:szCs w:val="15"/>
        </w:rPr>
        <w:t xml:space="preserve">      "text": "We profile your key data sources and score quality, integration, governance, security and AI fit against your priority use cases. Outcome: Data Readiness Scorecard.",</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"https://www.teaminternational.com/en/solutions/data-readiness#step-assess"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"Prioritize the roadmap",</w:t>
      </w:r>
    </w:p>
    <w:p>
      <w:pPr>
        <w:shd w:fill="F4F1F3" w:color="auto" w:val="clear"/>
        <w:spacing w:after="0" w:line="240"/>
        <w:ind w:left="120" w:right="120"/>
      </w:pPr>
      <w:r>
        <w:rPr>
          <w:rFonts w:ascii="Consolas" w:cs="Consolas" w:eastAsia="Consolas" w:hAnsi="Consolas"/>
          <w:color w:val="2F282D"/>
          <w:sz w:val="15"/>
          <w:szCs w:val="15"/>
        </w:rPr>
        <w:t xml:space="preserve">      "text": "We rank gaps by business impact and effort and turn them into a phased remediation and modernization plan. Outcome: Remediation and modernization roadmap.",</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"https://www.teaminternational.com/en/solutions/data-readiness#step-roadmap"</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"Fix quality and harmonize",</w:t>
      </w:r>
    </w:p>
    <w:p>
      <w:pPr>
        <w:shd w:fill="F4F1F3" w:color="auto" w:val="clear"/>
        <w:spacing w:after="0" w:line="240"/>
        <w:ind w:left="120" w:right="120"/>
      </w:pPr>
      <w:r>
        <w:rPr>
          <w:rFonts w:ascii="Consolas" w:cs="Consolas" w:eastAsia="Consolas" w:hAnsi="Consolas"/>
          <w:color w:val="2F282D"/>
          <w:sz w:val="15"/>
          <w:szCs w:val="15"/>
        </w:rPr>
        <w:t xml:space="preserve">      "text": "We cleanse, deduplicate and standardize critical data, and agree on shared definitions with the business. Outcome: Trusted, standardized data.",</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"https://www.teaminternational.com/en/solutions/data-readiness#step-quality"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4,</w:t>
      </w:r>
    </w:p>
    <w:p>
      <w:pPr>
        <w:shd w:fill="F4F1F3" w:color="auto" w:val="clear"/>
        <w:spacing w:after="0" w:line="240"/>
        <w:ind w:left="120" w:right="120"/>
      </w:pPr>
      <w:r>
        <w:rPr>
          <w:rFonts w:ascii="Consolas" w:cs="Consolas" w:eastAsia="Consolas" w:hAnsi="Consolas"/>
          <w:color w:val="2F282D"/>
          <w:sz w:val="15"/>
          <w:szCs w:val="15"/>
        </w:rPr>
        <w:t xml:space="preserve">      "name": "Integrate and modernize",</w:t>
      </w:r>
    </w:p>
    <w:p>
      <w:pPr>
        <w:shd w:fill="F4F1F3" w:color="auto" w:val="clear"/>
        <w:spacing w:after="0" w:line="240"/>
        <w:ind w:left="120" w:right="120"/>
      </w:pPr>
      <w:r>
        <w:rPr>
          <w:rFonts w:ascii="Consolas" w:cs="Consolas" w:eastAsia="Consolas" w:hAnsi="Consolas"/>
          <w:color w:val="2F282D"/>
          <w:sz w:val="15"/>
          <w:szCs w:val="15"/>
        </w:rPr>
        <w:t xml:space="preserve">      "text": "We connect silos through pipelines and APIs and move workloads to a modern cloud data platform. Outcome: An integrated enterprise data foundation.",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"https://www.teaminternational.com/en/solutions/data-readiness#step-integrate"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5,</w:t>
      </w:r>
    </w:p>
    <w:p>
      <w:pPr>
        <w:shd w:fill="F4F1F3" w:color="auto" w:val="clear"/>
        <w:spacing w:after="0" w:line="240"/>
        <w:ind w:left="120" w:right="120"/>
      </w:pPr>
      <w:r>
        <w:rPr>
          <w:rFonts w:ascii="Consolas" w:cs="Consolas" w:eastAsia="Consolas" w:hAnsi="Consolas"/>
          <w:color w:val="2F282D"/>
          <w:sz w:val="15"/>
          <w:szCs w:val="15"/>
        </w:rPr>
        <w:t xml:space="preserve">      "name": "Govern and secure",</w:t>
      </w:r>
    </w:p>
    <w:p>
      <w:pPr>
        <w:shd w:fill="F4F1F3" w:color="auto" w:val="clear"/>
        <w:spacing w:after="0" w:line="240"/>
        <w:ind w:left="120" w:right="120"/>
      </w:pPr>
      <w:r>
        <w:rPr>
          <w:rFonts w:ascii="Consolas" w:cs="Consolas" w:eastAsia="Consolas" w:hAnsi="Consolas"/>
          <w:color w:val="2F282D"/>
          <w:sz w:val="15"/>
          <w:szCs w:val="15"/>
        </w:rPr>
        <w:t xml:space="preserve">      "text": "We set ownership, policies, catalog, lineage and access controls so data is discoverable and safe to use with AI. Outcome: Governed, secure enterprise data.",</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"https://www.teaminternational.com/en/solutions/data-readiness#step-govern"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6,</w:t>
      </w:r>
    </w:p>
    <w:p>
      <w:pPr>
        <w:shd w:fill="F4F1F3" w:color="auto" w:val="clear"/>
        <w:spacing w:after="0" w:line="240"/>
        <w:ind w:left="120" w:right="120"/>
      </w:pPr>
      <w:r>
        <w:rPr>
          <w:rFonts w:ascii="Consolas" w:cs="Consolas" w:eastAsia="Consolas" w:hAnsi="Consolas"/>
          <w:color w:val="2F282D"/>
          <w:sz w:val="15"/>
          <w:szCs w:val="15"/>
        </w:rPr>
        <w:t xml:space="preserve">      "name": "Deliver AI-ready data products",</w:t>
      </w:r>
    </w:p>
    <w:p>
      <w:pPr>
        <w:shd w:fill="F4F1F3" w:color="auto" w:val="clear"/>
        <w:spacing w:after="0" w:line="240"/>
        <w:ind w:left="120" w:right="120"/>
      </w:pPr>
      <w:r>
        <w:rPr>
          <w:rFonts w:ascii="Consolas" w:cs="Consolas" w:eastAsia="Consolas" w:hAnsi="Consolas"/>
          <w:color w:val="2F282D"/>
          <w:sz w:val="15"/>
          <w:szCs w:val="15"/>
        </w:rPr>
        <w:t xml:space="preserve">      "text": "We package curated, documented data for analytics, BI and AI use cases, with quality monitored continuously. Outcome: Analytics-ready and AI-ready data products.",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"https://www.teaminternational.com/en/solutions/data-readiness#step-products"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FAQPage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"FAQPage",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"https://www.teaminternational.com/en/solutions/data-readiness#faq",</w:t>
      </w:r>
    </w:p>
    <w:p>
      <w:pPr>
        <w:shd w:fill="F4F1F3" w:color="auto" w:val="clear"/>
        <w:spacing w:after="0" w:line="240"/>
        <w:ind w:left="120" w:right="120"/>
      </w:pPr>
      <w:r>
        <w:rPr>
          <w:rFonts w:ascii="Consolas" w:cs="Consolas" w:eastAsia="Consolas" w:hAnsi="Consolas"/>
          <w:color w:val="2F282D"/>
          <w:sz w:val="15"/>
          <w:szCs w:val="15"/>
        </w:rPr>
        <w:t xml:space="preserve">  "mainEntity":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is data readiness?",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"Data readiness is how prepared an organization's data is to support a specific goal, such as analytics, automation or AI. It covers data quality, integration, governance, security and documentation. TEAM International measures it with a data readiness assessment and a Data Readiness Scorecard, then closes the gaps that matter most."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long does a data readiness assessment take?",</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"A typical data readiness assessment takes three to four weeks for a defined set of priority use cases and data sources. It ends with a Data Readiness Scorecard and a prioritized remediation and modernization roadmap, so you can plan budget and sequence with facts."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do your data modernization services include?",</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"TEAM International's data modernization services cover enterprise data integration, pipeline and API development, migration from legacy warehouses to a modern cloud data platform on Microsoft Azure or AWS, and data platform modernization, delivered in phases tied to priority analytics and AI use cases."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does data governance consulting include?",</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"Our data governance consulting defines data ownership and stewardship, policies and standards, a data catalog and lineage, access control and privacy, and governance for AI use. We size the program to your organization so it improves trust without adding bureaucracy."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 you improve data quality?",</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"We apply a data quality framework: profile data to find errors, gaps and duplicates, fix them at the source where possible, standardize formats and definitions, set up master data for key entities, and add automated data quality checks and monitoring so quality stays high over time."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is the Fast Track platform option?",</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"The Fast Track platform option is a ready-to-use platform that connects to most enterprise data sources, lets business users ask questions in natural language, and lets teams build AI agents without code. It delivers value in weeks while the data readiness roadmap continues."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we need to replace our current data platform?",</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"Usually not. Our data engineers work across Microsoft Azure and AWS, modernize around the platforms you already run, and replace only the components that block quality, scale or AI. The roadmap from the assessment shows what to keep, upgrade or retire."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is data readiness different from an AI readiness assessment?",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"An AI readiness assessment looks at strategy, use cases, skills, governance and technology across the organization. A data readiness assessment goes deep on the data itself: quality, integration, governance and fitness for specific AI and analytics use cases. Many companies start with data readiness because data is the most common blocker."</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work with mid-size companies?",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TEAM International has built enterprise data and software systems for more than 20 years and works with mid-size companies too. Senior teams, an assessment-first approach and the Fast Track option make data readiness affordable for mid-size budgets."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 we start?",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"Start with a data readiness assessment. In three to four weeks, TEAM International scores your priority data sources and delivers a Data Readiness Scorecard and a remediation and modernization roadmap, so you can decide next steps with clear scope and cost."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1"/>
        <w:pBdr>
          <w:bottom w:val="single" w:color="FDBE00" w:sz="12" w:space="4"/>
        </w:pBdr>
      </w:pPr>
      <w:r>
        <w:t xml:space="preserve">11. Data sources and the role of Scrunch</w:t>
      </w:r>
    </w:p>
    <w:p>
      <w:pPr>
        <w:spacing w:after="140" w:line="288"/>
      </w:pPr>
      <w:r>
        <w:rPr>
          <w:rFonts w:ascii="Aptos" w:cs="Aptos" w:eastAsia="Aptos" w:hAnsi="Aptos"/>
          <w:b/>
          <w:bCs/>
          <w:color w:val="2F282D"/>
          <w:sz w:val="21"/>
          <w:szCs w:val="21"/>
        </w:rPr>
        <w:t xml:space="preserve">This strategy is not based on Scrunch data. </w:t>
      </w:r>
      <w:r>
        <w:rPr>
          <w:rFonts w:ascii="Aptos" w:cs="Aptos" w:eastAsia="Aptos" w:hAnsi="Aptos"/>
          <w:color w:val="2F282D"/>
          <w:sz w:val="21"/>
          <w:szCs w:val="21"/>
        </w:rPr>
        <w:t xml:space="preserve">Keyword volumes, difficulty and CPC come from Semrush; market data comes from Gartner and the Precisely and Drexel LeBow 2026 report; UBIX capabilities come from the offering description TEAM provided.</w:t>
      </w:r>
    </w:p>
    <w:p>
      <w:pPr>
        <w:pStyle w:val="ListParagraph"/>
        <w:numPr>
          <w:ilvl w:val="0"/>
          <w:numId w:val="2"/>
        </w:numPr>
        <w:spacing w:after="80" w:line="276"/>
      </w:pPr>
      <w:r>
        <w:rPr>
          <w:rFonts w:ascii="Aptos" w:cs="Aptos" w:eastAsia="Aptos" w:hAnsi="Aptos"/>
          <w:b/>
          <w:bCs/>
          <w:color w:val="2F282D"/>
          <w:sz w:val="21"/>
          <w:szCs w:val="21"/>
        </w:rPr>
        <w:t xml:space="preserve">Baseline and tracking.</w:t>
      </w:r>
      <w:r>
        <w:rPr>
          <w:rFonts w:ascii="Aptos" w:cs="Aptos" w:eastAsia="Aptos" w:hAnsi="Aptos"/>
          <w:color w:val="2F282D"/>
          <w:sz w:val="21"/>
          <w:szCs w:val="21"/>
        </w:rPr>
        <w:t xml:space="preserve"> Load prompts such as "data readiness assessment for a mid-size company," "data governance consulting firms" and "how to make enterprise data AI-ready" into Scrunch to measure this page's visibility in ChatGPT, Gemini, Perplexity and Google AI Overviews before and after launch.</w:t>
      </w:r>
    </w:p>
    <w:p>
      <w:pPr>
        <w:pStyle w:val="ListParagraph"/>
        <w:numPr>
          <w:ilvl w:val="0"/>
          <w:numId w:val="2"/>
        </w:numPr>
        <w:spacing w:after="80" w:line="276"/>
      </w:pPr>
      <w:r>
        <w:rPr>
          <w:rFonts w:ascii="Aptos" w:cs="Aptos" w:eastAsia="Aptos" w:hAnsi="Aptos"/>
          <w:b/>
          <w:bCs/>
          <w:color w:val="2F282D"/>
          <w:sz w:val="21"/>
          <w:szCs w:val="21"/>
        </w:rPr>
        <w:t xml:space="preserve">Prompt research.</w:t>
      </w:r>
      <w:r>
        <w:rPr>
          <w:rFonts w:ascii="Aptos" w:cs="Aptos" w:eastAsia="Aptos" w:hAnsi="Aptos"/>
          <w:color w:val="2F282D"/>
          <w:sz w:val="21"/>
          <w:szCs w:val="21"/>
        </w:rPr>
        <w:t xml:space="preserve"> Use Scrunch prompt data to find new buyer questions for the FAQ.</w:t>
      </w:r>
    </w:p>
    <w:p>
      <w:pPr>
        <w:pStyle w:val="ListParagraph"/>
        <w:numPr>
          <w:ilvl w:val="0"/>
          <w:numId w:val="2"/>
        </w:numPr>
        <w:spacing w:after="80" w:line="276"/>
      </w:pPr>
      <w:r>
        <w:rPr>
          <w:rFonts w:ascii="Aptos" w:cs="Aptos" w:eastAsia="Aptos" w:hAnsi="Aptos"/>
          <w:b/>
          <w:bCs/>
          <w:color w:val="2F282D"/>
          <w:sz w:val="21"/>
          <w:szCs w:val="21"/>
        </w:rPr>
        <w:t xml:space="preserve">AXP.</w:t>
      </w:r>
      <w:r>
        <w:rPr>
          <w:rFonts w:ascii="Aptos" w:cs="Aptos" w:eastAsia="Aptos" w:hAnsi="Aptos"/>
          <w:color w:val="2F282D"/>
          <w:sz w:val="21"/>
          <w:szCs w:val="21"/>
        </w:rPr>
        <w:t xml:space="preserve"> Because the site runs on Vercel, Scrunch's Agent Experience Platform can later serve AI agents an optimized version of this page without code changes.</w:t>
      </w:r>
    </w:p>
    <w:p>
      <w:pPr>
        <w:pStyle w:val="Heading1"/>
        <w:pBdr>
          <w:bottom w:val="single" w:color="FDBE00" w:sz="12" w:space="4"/>
        </w:pBdr>
      </w:pPr>
      <w:r>
        <w:t xml:space="preserve">12. Open items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3560"/>
      </w:tblGrid>
      <w:tr>
        <w:trPr>
          <w:tblHeader/>
        </w:trPr>
        <w:tc>
          <w:tcPr>
            <w:tcW w:type="dxa" w:w="4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Item</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Owner</w:t>
            </w:r>
          </w:p>
        </w:tc>
        <w:tc>
          <w:tcPr>
            <w:tcW w:type="dxa" w:w="35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it matters</w:t>
            </w:r>
          </w:p>
        </w:tc>
      </w:tr>
      <w:tr>
        <w:trPr>
          <w:cantSplit/>
        </w:trPr>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Confirm the UBIX white-label terms allow presenting it as "Fast Track platform option" without naming UBIX</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Partnerships</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Brand and legal accuracy</w:t>
            </w:r>
          </w:p>
        </w:tc>
      </w:tr>
      <w:tr>
        <w:trPr>
          <w:cantSplit/>
        </w:trPr>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Confirm assessment length (3–4 weeks assumed) and deliverables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Delivery</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The page and FAQ promise them</w:t>
            </w:r>
          </w:p>
        </w:tc>
      </w:tr>
      <w:tr>
        <w:trPr>
          <w:cantSplit/>
        </w:trPr>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Confirm whether TEAM has Snowflake, Databricks or Microsoft Fabric expertise (Azure and AWS are confirmed and named on the page)</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Delivery</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Snowflake consulting services (720/mo, KD 21), Databricks consulting services (210, KD 5) and Microsoft Fabric consulting (210, KD 15) are valuable, easy keywords, but only if TEAM delivers them</w:t>
            </w:r>
          </w:p>
        </w:tc>
      </w:tr>
      <w:tr>
        <w:trPr>
          <w:cantSplit/>
        </w:trPr>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Add one data readiness case study with before/after numbers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Marketing</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Strongest GEO and conversion signal</w:t>
            </w:r>
          </w:p>
        </w:tc>
      </w:tr>
      <w:tr>
        <w:trPr>
          <w:cantSplit/>
        </w:trPr>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Decide what happens to the current /solutions/data-management and Data Studio pages</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Marketing</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Avoids keyword cannibalization</w:t>
            </w:r>
          </w:p>
        </w:tc>
      </w:tr>
      <w:tr>
        <w:trPr>
          <w:cantSplit/>
        </w:trPr>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Create a downloadable data readiness checklist</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Marketing</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Lead magnet for "data readiness checklist" searches</w:t>
            </w:r>
          </w:p>
        </w:tc>
      </w:tr>
      <w:tr>
        <w:trPr>
          <w:cantSplit/>
        </w:trPr>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Build the page in team-solutions-site and set it live in lib/solutions.ts</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Web</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Next step after approving this strategy</w:t>
            </w:r>
          </w:p>
        </w:tc>
      </w:tr>
      <w:tr>
        <w:trPr>
          <w:cantSplit/>
        </w:trPr>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Set up Scrunch prompts for this page</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AI Discovery team</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Baseline AI visibility before launch</w:t>
            </w:r>
          </w:p>
        </w:tc>
      </w:tr>
    </w:tbl>
    <w:p>
      <w:pPr>
        <w:pStyle w:val="Heading1"/>
        <w:pBdr>
          <w:bottom w:val="single" w:color="FDBE00" w:sz="12" w:space="4"/>
        </w:pBdr>
      </w:pPr>
      <w:r>
        <w:t xml:space="preserve">Sources</w:t>
      </w:r>
    </w:p>
    <w:p>
      <w:pPr>
        <w:pStyle w:val="ListParagraph"/>
        <w:numPr>
          <w:ilvl w:val="0"/>
          <w:numId w:val="2"/>
        </w:numPr>
        <w:spacing w:after="80"/>
      </w:pPr>
      <w:hyperlink w:history="1" r:id="rIdbd-zaxpdiyym0lkn2w4jl">
        <w:r>
          <w:rPr>
            <w:rFonts w:ascii="Aptos" w:cs="Aptos" w:eastAsia="Aptos" w:hAnsi="Aptos"/>
            <w:color w:val="3939E3"/>
            <w:sz w:val="21"/>
            <w:szCs w:val="21"/>
            <w:u w:val="single"/>
          </w:rPr>
          <w:t xml:space="preserve">Semrush keyword data (US, UK, DE databases), pulled October 15, 2026</w:t>
        </w:r>
      </w:hyperlink>
    </w:p>
    <w:p>
      <w:pPr>
        <w:pStyle w:val="ListParagraph"/>
        <w:numPr>
          <w:ilvl w:val="0"/>
          <w:numId w:val="2"/>
        </w:numPr>
        <w:spacing w:after="80"/>
      </w:pPr>
      <w:hyperlink w:history="1" r:id="rIdduwgfcj3gx4r5r7skuhm1">
        <w:r>
          <w:rPr>
            <w:rFonts w:ascii="Aptos" w:cs="Aptos" w:eastAsia="Aptos" w:hAnsi="Aptos"/>
            <w:color w:val="3939E3"/>
            <w:sz w:val="21"/>
            <w:szCs w:val="21"/>
            <w:u w:val="single"/>
          </w:rPr>
          <w:t xml:space="preserve">Gartner: Lack of AI-Ready Data Puts AI Projects at Risk (Feb 26, 2025)</w:t>
        </w:r>
      </w:hyperlink>
    </w:p>
    <w:p>
      <w:pPr>
        <w:pStyle w:val="ListParagraph"/>
        <w:numPr>
          <w:ilvl w:val="0"/>
          <w:numId w:val="2"/>
        </w:numPr>
        <w:spacing w:after="80"/>
      </w:pPr>
      <w:hyperlink w:history="1" r:id="rIddennq5dq4rxogdfqkd1eo">
        <w:r>
          <w:rPr>
            <w:rFonts w:ascii="Aptos" w:cs="Aptos" w:eastAsia="Aptos" w:hAnsi="Aptos"/>
            <w:color w:val="3939E3"/>
            <w:sz w:val="21"/>
            <w:szCs w:val="21"/>
            <w:u w:val="single"/>
          </w:rPr>
          <w:t xml:space="preserve">Precisely and Drexel LeBow: 2026 State of Data Integrity and AI Readiness</w:t>
        </w:r>
      </w:hyperlink>
    </w:p>
    <w:p>
      <w:pPr>
        <w:pStyle w:val="ListParagraph"/>
        <w:numPr>
          <w:ilvl w:val="0"/>
          <w:numId w:val="2"/>
        </w:numPr>
        <w:spacing w:after="80"/>
      </w:pPr>
      <w:hyperlink w:history="1" r:id="rIddhre-9aifa3pnq5degikp">
        <w:r>
          <w:rPr>
            <w:rFonts w:ascii="Aptos" w:cs="Aptos" w:eastAsia="Aptos" w:hAnsi="Aptos"/>
            <w:color w:val="3939E3"/>
            <w:sz w:val="21"/>
            <w:szCs w:val="21"/>
            <w:u w:val="single"/>
          </w:rPr>
          <w:t xml:space="preserve">TD SYNNEX vendor page: UBIX</w:t>
        </w:r>
      </w:hyperlink>
    </w:p>
    <w:p>
      <w:pPr>
        <w:pStyle w:val="ListParagraph"/>
        <w:numPr>
          <w:ilvl w:val="0"/>
          <w:numId w:val="2"/>
        </w:numPr>
        <w:spacing w:after="80"/>
      </w:pPr>
      <w:hyperlink w:history="1" r:id="rIdalokbusb0onlnh5l-s4b-">
        <w:r>
          <w:rPr>
            <w:rFonts w:ascii="Aptos" w:cs="Aptos" w:eastAsia="Aptos" w:hAnsi="Aptos"/>
            <w:color w:val="3939E3"/>
            <w:sz w:val="21"/>
            <w:szCs w:val="21"/>
            <w:u w:val="single"/>
          </w:rPr>
          <w:t xml:space="preserve">Scrunch: What is the Agent Experience Platform (AXP)</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756B72"/>
        <w:sz w:val="16"/>
        <w:szCs w:val="16"/>
      </w:rPr>
      <w:t xml:space="preserve">TEAM International · Data Readiness strategy · </w:t>
    </w:r>
    <w:r>
      <w:rPr>
        <w:rFonts w:ascii="Aptos" w:cs="Aptos" w:eastAsia="Aptos" w:hAnsi="Aptos"/>
        <w:color w:val="75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F28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outlineLvl w:val="0"/>
    </w:pPr>
    <w:rPr>
      <w:rFonts w:ascii="Aptos" w:cs="Aptos" w:eastAsia="Aptos" w:hAnsi="Aptos"/>
      <w:b/>
      <w:bCs/>
      <w:color w:val="2F282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2F282D"/>
      <w:sz w:val="26"/>
      <w:szCs w:val="26"/>
    </w:rPr>
  </w:style>
  <w:style w:type="paragraph" w:styleId="Heading3">
    <w:name w:val="Heading 3"/>
    <w:basedOn w:val="Normal"/>
    <w:next w:val="Normal"/>
    <w:qFormat/>
    <w:pPr>
      <w:keepNext/>
      <w:spacing w:after="80" w:before="200"/>
      <w:outlineLvl w:val="2"/>
    </w:pPr>
    <w:rPr>
      <w:rFonts w:ascii="Aptos" w:cs="Aptos" w:eastAsia="Aptos" w:hAnsi="Aptos"/>
      <w:b/>
      <w:bCs/>
      <w:color w:val="B487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d-zaxpdiyym0lkn2w4jl" Type="http://schemas.openxmlformats.org/officeDocument/2006/relationships/hyperlink" Target="https://www.semrush.com/analytics/keywordoverview/" TargetMode="External"/><Relationship Id="rIdduwgfcj3gx4r5r7skuhm1" Type="http://schemas.openxmlformats.org/officeDocument/2006/relationships/hyperlink" Target="https://www.gartner.com/en/newsroom/press-releases/2025-02-26-lack-of-ai-ready-data-puts-ai-projects-at-risk" TargetMode="External"/><Relationship Id="rIddennq5dq4rxogdfqkd1eo" Type="http://schemas.openxmlformats.org/officeDocument/2006/relationships/hyperlink" Target="https://www.lebow.drexel.edu/sites/default/files/2026-01/lebow-precisely-state-data-integrity-ai-readiness-2026.pdf" TargetMode="External"/><Relationship Id="rIddhre-9aifa3pnq5degikp" Type="http://schemas.openxmlformats.org/officeDocument/2006/relationships/hyperlink" Target="https://c-2375-20151007-www-techdata-com.i.icims.com/us/en/vendors/featured-vendors/ubix.html" TargetMode="External"/><Relationship Id="rIdalokbusb0onlnh5l-s4b-" Type="http://schemas.openxmlformats.org/officeDocument/2006/relationships/hyperlink" Target="https://scrunch.com/faqs/what-is-scrunch-agent-experience-platform-axp-and-how-does-it-work"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Readiness — Landing Page Strategy</dc:title>
  <dc:creator>TEAM International</dc:creator>
  <cp:lastModifiedBy>Un-named</cp:lastModifiedBy>
  <cp:revision>1</cp:revision>
  <dcterms:created xsi:type="dcterms:W3CDTF">2026-10-15T14:20:18.413Z</dcterms:created>
  <dcterms:modified xsi:type="dcterms:W3CDTF">2026-10-15T14:20:18.425Z</dcterms:modified>
</cp:coreProperties>
</file>

<file path=docProps/custom.xml><?xml version="1.0" encoding="utf-8"?>
<Properties xmlns="http://schemas.openxmlformats.org/officeDocument/2006/custom-properties" xmlns:vt="http://schemas.openxmlformats.org/officeDocument/2006/docPropsVTypes"/>
</file>