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267" w:rsidRDefault="00B7046D">
      <w:pPr>
        <w:spacing w:after="120"/>
        <w:jc w:val="center"/>
      </w:pPr>
      <w:r>
        <w:rPr>
          <w:b/>
          <w:bCs/>
          <w:sz w:val="40"/>
          <w:szCs w:val="40"/>
        </w:rPr>
        <w:t>Salud mental: una pregunta sobre nuestra época</w:t>
      </w:r>
    </w:p>
    <w:p w:rsidR="006A7267" w:rsidRDefault="00B7046D">
      <w:pPr>
        <w:spacing w:after="120"/>
        <w:jc w:val="center"/>
      </w:pPr>
      <w:r>
        <w:rPr>
          <w:i/>
          <w:iCs/>
        </w:rPr>
        <w:t>De la experiencia cotidiana a la clínica interdisciplinaria: un recorrido entre historia, cultura y sujeto</w:t>
      </w:r>
    </w:p>
    <w:p w:rsidR="006A7267" w:rsidRDefault="00B7046D">
      <w:pPr>
        <w:spacing w:after="480"/>
        <w:jc w:val="center"/>
      </w:pPr>
      <w:r>
        <w:rPr>
          <w:color w:val="595959"/>
          <w:sz w:val="20"/>
          <w:szCs w:val="20"/>
        </w:rPr>
        <w:t>Salud Mental Costa Rica  ·  Borrador de trabajo  ·  Abril 2026</w:t>
      </w:r>
    </w:p>
    <w:p w:rsidR="006A7267" w:rsidRDefault="00B7046D">
      <w:pPr>
        <w:pStyle w:val="Ttulo1"/>
      </w:pPr>
      <w:r>
        <w:t>Plan de trabajo</w:t>
      </w:r>
    </w:p>
    <w:p w:rsidR="006A7267" w:rsidRDefault="00B7046D">
      <w:pPr>
        <w:spacing w:after="200" w:line="320" w:lineRule="auto"/>
        <w:jc w:val="both"/>
      </w:pPr>
      <w:r>
        <w:t>El artículo recorre la salud mental en cinco segmentos, pensados como cinco ensayos breves articulados. Cada segmento sigue la misma arquitectura piramidal: comienza con una escena o pregunta accesible a cualquier lector, se abre hacia los conceptos centra</w:t>
      </w:r>
      <w:r>
        <w:t>les, entra en la discusión especializada con referencias de prestigio, y cierra retornando a la experiencia cotidiana. De ese modo el lector general nunca se pierde y el lector especializado encuentra densidad en cada tramo.</w:t>
      </w:r>
    </w:p>
    <w:p w:rsidR="006A7267" w:rsidRDefault="00B7046D">
      <w:pPr>
        <w:pStyle w:val="Ttulo2"/>
      </w:pPr>
      <w:r>
        <w:t>Arquitectura de cada segmento</w:t>
      </w:r>
    </w:p>
    <w:p w:rsidR="006A7267" w:rsidRDefault="00B7046D">
      <w:pPr>
        <w:pStyle w:val="Prrafodelista"/>
        <w:numPr>
          <w:ilvl w:val="0"/>
          <w:numId w:val="2"/>
        </w:numPr>
        <w:spacing w:after="80" w:line="300" w:lineRule="auto"/>
      </w:pPr>
      <w:r>
        <w:t>N</w:t>
      </w:r>
      <w:r>
        <w:t>ivel 1 — Base. Escena o pregunta llana, sin jerga. Aproximadamente 20%.</w:t>
      </w:r>
    </w:p>
    <w:p w:rsidR="006A7267" w:rsidRDefault="00B7046D">
      <w:pPr>
        <w:pStyle w:val="Prrafodelista"/>
        <w:numPr>
          <w:ilvl w:val="0"/>
          <w:numId w:val="2"/>
        </w:numPr>
        <w:spacing w:after="80" w:line="300" w:lineRule="auto"/>
      </w:pPr>
      <w:r>
        <w:t>Nivel 2 — Encuadre. Concepto central con cuidado, todavía accesible. Aproximadamente 30%.</w:t>
      </w:r>
    </w:p>
    <w:p w:rsidR="006A7267" w:rsidRDefault="00B7046D">
      <w:pPr>
        <w:pStyle w:val="Prrafodelista"/>
        <w:numPr>
          <w:ilvl w:val="0"/>
          <w:numId w:val="2"/>
        </w:numPr>
        <w:spacing w:after="80" w:line="300" w:lineRule="auto"/>
      </w:pPr>
      <w:r>
        <w:t>Nivel 3 — Tensión especializada. Referencias de prestigio, polémicas, matices. Aproximadamente</w:t>
      </w:r>
      <w:r>
        <w:t xml:space="preserve"> 35%.</w:t>
      </w:r>
    </w:p>
    <w:p w:rsidR="006A7267" w:rsidRDefault="00B7046D">
      <w:pPr>
        <w:pStyle w:val="Prrafodelista"/>
        <w:numPr>
          <w:ilvl w:val="0"/>
          <w:numId w:val="2"/>
        </w:numPr>
        <w:spacing w:after="80" w:line="300" w:lineRule="auto"/>
      </w:pPr>
      <w:r>
        <w:t>Nivel 4 — Síntesis y retorno. Reconexión con la escena inicial. Aproximadamente 15%.</w:t>
      </w:r>
    </w:p>
    <w:p w:rsidR="006A7267" w:rsidRDefault="00B7046D">
      <w:pPr>
        <w:pStyle w:val="Ttulo2"/>
      </w:pPr>
      <w:r>
        <w:t>Los cinco segmentos</w:t>
      </w:r>
    </w:p>
    <w:p w:rsidR="006A7267" w:rsidRDefault="00B7046D">
      <w:pPr>
        <w:pStyle w:val="Prrafodelista"/>
        <w:numPr>
          <w:ilvl w:val="0"/>
          <w:numId w:val="2"/>
        </w:numPr>
        <w:spacing w:after="80" w:line="300" w:lineRule="auto"/>
      </w:pPr>
      <w:r>
        <w:t>Segmento 1. La pregunta cotidiana: qué significa estar bien.</w:t>
      </w:r>
    </w:p>
    <w:p w:rsidR="006A7267" w:rsidRDefault="00B7046D">
      <w:pPr>
        <w:pStyle w:val="Prrafodelista"/>
        <w:numPr>
          <w:ilvl w:val="0"/>
          <w:numId w:val="2"/>
        </w:numPr>
        <w:spacing w:after="80" w:line="300" w:lineRule="auto"/>
      </w:pPr>
      <w:r>
        <w:t>Segmento 2. El problema del relativismo: ¿la locura es la misma en todas partes?</w:t>
      </w:r>
    </w:p>
    <w:p w:rsidR="006A7267" w:rsidRDefault="00B7046D">
      <w:pPr>
        <w:pStyle w:val="Prrafodelista"/>
        <w:numPr>
          <w:ilvl w:val="0"/>
          <w:numId w:val="2"/>
        </w:numPr>
        <w:spacing w:after="80" w:line="300" w:lineRule="auto"/>
      </w:pPr>
      <w:r>
        <w:t>Seg</w:t>
      </w:r>
      <w:r>
        <w:t>mento 3. Breve historia del malestar y sus tratamientos.</w:t>
      </w:r>
    </w:p>
    <w:p w:rsidR="006A7267" w:rsidRDefault="00B7046D">
      <w:pPr>
        <w:pStyle w:val="Prrafodelista"/>
        <w:numPr>
          <w:ilvl w:val="0"/>
          <w:numId w:val="2"/>
        </w:numPr>
        <w:spacing w:after="80" w:line="300" w:lineRule="auto"/>
      </w:pPr>
      <w:r>
        <w:t>Segmento 4. Estructuras mentales y época: el nudo clínico y filosófico.</w:t>
      </w:r>
    </w:p>
    <w:p w:rsidR="006A7267" w:rsidRDefault="00B7046D">
      <w:pPr>
        <w:pStyle w:val="Prrafodelista"/>
        <w:numPr>
          <w:ilvl w:val="0"/>
          <w:numId w:val="2"/>
        </w:numPr>
        <w:spacing w:after="80" w:line="300" w:lineRule="auto"/>
      </w:pPr>
      <w:r>
        <w:t>Segmento 5. La respuesta interdisciplinaria.</w:t>
      </w:r>
    </w:p>
    <w:p w:rsidR="006A7267" w:rsidRDefault="00B7046D">
      <w:pPr>
        <w:pStyle w:val="Ttulo2"/>
      </w:pPr>
      <w:r>
        <w:t>Hipótesis</w:t>
      </w:r>
    </w:p>
    <w:p w:rsidR="006A7267" w:rsidRDefault="00B7046D">
      <w:pPr>
        <w:spacing w:after="200" w:line="320" w:lineRule="auto"/>
        <w:jc w:val="both"/>
      </w:pPr>
      <w:r>
        <w:t>Un abordaje interdisciplinario —que articule psiquiatría, psicología clí</w:t>
      </w:r>
      <w:r>
        <w:t xml:space="preserve">nica, psicoanálisis, trabajo social y una sensibilidad filosófica y antropológica— es la forma más refinada que </w:t>
      </w:r>
      <w:r>
        <w:lastRenderedPageBreak/>
        <w:t>nuestra cultura ha producido para tratar el malestar mental, precisamente porque integra las tres dimensiones (biológica, subjetiva, cultural) s</w:t>
      </w:r>
      <w:r>
        <w:t>in reducir una a otra.</w:t>
      </w:r>
    </w:p>
    <w:p w:rsidR="006A7267" w:rsidRDefault="00B7046D">
      <w:r>
        <w:br w:type="page"/>
      </w:r>
    </w:p>
    <w:p w:rsidR="006A7267" w:rsidRDefault="00B7046D">
      <w:pPr>
        <w:pStyle w:val="Ttulo1"/>
      </w:pPr>
      <w:r>
        <w:lastRenderedPageBreak/>
        <w:t>Segmento 1 — La pregunta cotidiana</w:t>
      </w:r>
    </w:p>
    <w:p w:rsidR="006A7267" w:rsidRDefault="00B7046D">
      <w:pPr>
        <w:pStyle w:val="Ttulo3"/>
      </w:pPr>
      <w:r>
        <w:t>Nivel 1 — Base</w:t>
      </w:r>
    </w:p>
    <w:p w:rsidR="006A7267" w:rsidRDefault="00BE6443">
      <w:pPr>
        <w:spacing w:after="200" w:line="320" w:lineRule="auto"/>
        <w:jc w:val="both"/>
      </w:pPr>
      <w:r>
        <w:t>Tener un mal día o una mala semana es cosa común</w:t>
      </w:r>
      <w:r w:rsidR="00B7046D">
        <w:t xml:space="preserve">. Dormimos mal sin que haya pasado nada grave, nos irritamos </w:t>
      </w:r>
      <w:r>
        <w:t>con facilidad</w:t>
      </w:r>
      <w:r w:rsidR="00B7046D">
        <w:t xml:space="preserve">, arrastramos un cansancio que no se </w:t>
      </w:r>
      <w:r>
        <w:t>quita con el</w:t>
      </w:r>
      <w:r w:rsidR="00B7046D">
        <w:t xml:space="preserve"> fin de semana. No estamos enfermos —nadie firmaría un diagnóstico— pero tampoco estamos bien. ¿Dónde cae entonces esa zona intermedia? ¿Es un asunto personal, un signo de la época, el inicio de algo más serio?</w:t>
      </w:r>
      <w:r>
        <w:t xml:space="preserve"> Sucede una semana, lo dejamos pasar, dos, una de por medio, entra la duda, un malestar se va figurando.</w:t>
      </w:r>
    </w:p>
    <w:p w:rsidR="006A7267" w:rsidRDefault="00B7046D">
      <w:pPr>
        <w:spacing w:after="200" w:line="320" w:lineRule="auto"/>
        <w:jc w:val="both"/>
      </w:pPr>
      <w:r>
        <w:t>La salud mental es, antes que una</w:t>
      </w:r>
      <w:r w:rsidR="00BE6443">
        <w:t xml:space="preserve"> categoría clínica, una</w:t>
      </w:r>
      <w:r>
        <w:t xml:space="preserve"> pregunta cotidiana. Aparece cuando un amigo nos dice que está “muy ansioso” y no </w:t>
      </w:r>
      <w:r w:rsidR="00BE6443">
        <w:t>sabemos si recomendarle bajar el café, vacaciones</w:t>
      </w:r>
      <w:r>
        <w:t>, terapia o un médico. Aparece cuando un familiar deja de salir de casa y la familia discute si es “una etapa” o algo m</w:t>
      </w:r>
      <w:r>
        <w:t>ás. Aparece cuando nosotros mismos, frente al espejo, no reconocemos del todo lo que sentimos. En Costa Rica, como en casi toda América Latina, la conversación pública sobre estos temas ha cre</w:t>
      </w:r>
      <w:r w:rsidR="00BE6443">
        <w:t>cido en los últimos años, hay más conciencia, también hay más oferta, quizá hay más demanda, en momentos parece que se dice tanto que hasta pareciera que no</w:t>
      </w:r>
      <w:r>
        <w:t xml:space="preserve"> sabemos bien de qué estamos hablando.</w:t>
      </w:r>
      <w:r w:rsidR="00BE6443">
        <w:t xml:space="preserve"> Incluso llegamos a preguntar sin mucha responsabilidad y con poco saber a una IA que está programada para otros usos. </w:t>
      </w:r>
    </w:p>
    <w:p w:rsidR="006A7267" w:rsidRDefault="00B7046D">
      <w:pPr>
        <w:spacing w:after="200" w:line="320" w:lineRule="auto"/>
        <w:jc w:val="both"/>
      </w:pPr>
      <w:r>
        <w:t>Este artículo propone tomar esa pregunta en serio. No para cerrarla con una definición rápida, sino para recorrerla con c</w:t>
      </w:r>
      <w:r w:rsidR="00BE6443">
        <w:t>uidado: qué significa “salud mental”</w:t>
      </w:r>
      <w:r>
        <w:t xml:space="preserve">, por qué </w:t>
      </w:r>
      <w:r>
        <w:t xml:space="preserve">no hay una sola respuesta, qué ha pensado nuestra cultura sobre el malestar mental a lo largo del tiempo, y qué puede ofrecer hoy un equipo interdisciplinario a quien busca ayuda. </w:t>
      </w:r>
      <w:r w:rsidR="00BE6443">
        <w:t>Partamos de</w:t>
      </w:r>
      <w:r>
        <w:t xml:space="preserve"> escenas reconocibles y termi</w:t>
      </w:r>
      <w:r>
        <w:t>namos donde se juega lo interesante —la discusión entre clínicos, filósofos y antropólogos que han pensado estas preguntas con la seriedad que merecen.</w:t>
      </w:r>
    </w:p>
    <w:p w:rsidR="00BE6443" w:rsidRDefault="00B7046D">
      <w:pPr>
        <w:spacing w:after="200" w:line="320" w:lineRule="auto"/>
        <w:jc w:val="both"/>
      </w:pPr>
      <w:r>
        <w:t>Si se le pregunta a una organización oficial, la respuesta parece sencilla. La Organización Mundial de la Salud definió durante décadas la salud mental como “un estado de bienestar en el cual el individuo es consciente de sus propias capacidades, puede afr</w:t>
      </w:r>
      <w:r>
        <w:t xml:space="preserve">ontar las tensiones normales de la vida, puede trabajar de forma productiva y fructífera, y es capaz de hacer una contribución a su comunidad”. </w:t>
      </w:r>
      <w:r w:rsidR="00BE6443">
        <w:t xml:space="preserve">Casi como pensar una resistencia, tiene una capacidad, mucha carga y se quema. </w:t>
      </w:r>
    </w:p>
    <w:p w:rsidR="006A7267" w:rsidRDefault="00B7046D">
      <w:pPr>
        <w:spacing w:after="200" w:line="320" w:lineRule="auto"/>
        <w:jc w:val="both"/>
      </w:pPr>
      <w:r>
        <w:lastRenderedPageBreak/>
        <w:t xml:space="preserve">En 2022, con la publicación del Informe Mundial sobre Salud Mental, la propia OMS revisó la fórmula y la volvió </w:t>
      </w:r>
      <w:r>
        <w:t>más sobria: la salud mental es ahora “un estado de bienestar mental que permite a las personas afrontar el estrés de la vida, desarrollar sus capacidades, aprender y trabajar adecuadamente, y contribuir a su comunidad”. El cambio no es cosmético. Desaparec</w:t>
      </w:r>
      <w:r>
        <w:t>e la exigencia de ser “consciente” de las propias capacidades, se matiza la productividad como horizonte, y se admite que la vida trae estrés a secas —no solo “normal”. Ambas versiones comparten un mismo linaje: ya en 1948, la constitución fundacional de l</w:t>
      </w:r>
      <w:r>
        <w:t>a OMS había definido la salud</w:t>
      </w:r>
      <w:r w:rsidR="00BE6443">
        <w:t xml:space="preserve"> </w:t>
      </w:r>
      <w:r>
        <w:t>como “un estado de completo bienestar físico, mental y social, y no solamente la ausencia de afecciones o enfermedades”. Esa apuesta inicial —entender la salud como bienestar integrado y no como mera ausencia de enfermedad— si</w:t>
      </w:r>
      <w:r>
        <w:t>gue siendo la mejor contr</w:t>
      </w:r>
      <w:r w:rsidR="00BE6443">
        <w:t>ibución del marco internacional, sin embargo la idealización de un estado de totalidad se percibe fácilmente como un horizonte inalcanzable, fugaz, hasta irreal.</w:t>
      </w:r>
    </w:p>
    <w:p w:rsidR="006A7267" w:rsidRDefault="00BE6443">
      <w:pPr>
        <w:spacing w:after="200" w:line="320" w:lineRule="auto"/>
        <w:jc w:val="both"/>
      </w:pPr>
      <w:r>
        <w:t xml:space="preserve">Esta versión revisada exige </w:t>
      </w:r>
      <w:r w:rsidR="00B7046D">
        <w:t>mucho. Basta leerla dos veces para ad</w:t>
      </w:r>
      <w:r>
        <w:t>vertir que casi nadie, siendo</w:t>
      </w:r>
      <w:r w:rsidR="00B7046D">
        <w:t xml:space="preserve"> honesto, se reconocería del todo dentro de ella. ¿Quién afronta siempre el estré</w:t>
      </w:r>
      <w:r w:rsidR="00B7046D">
        <w:t>s de la vida? ¿Quién aprende y trabaja adecuadamente en cada temporada? La definición describe un ideal más que un estado real. Y al hacerlo corre un riesgo silencioso: si todo lo que no alcanza ese ideal cuenta como “mala salud mental”, entonces prácticam</w:t>
      </w:r>
      <w:r w:rsidR="00B7046D">
        <w:t>ente cualquier incomodidad h</w:t>
      </w:r>
      <w:r>
        <w:t>umana queda del lado de la enfermedad</w:t>
      </w:r>
      <w:r w:rsidR="00B7046D">
        <w:t>. El punto no es desechar las definiciones oficiales, sino reconocer que solas no alcanzan. Hace falta un vocabulario más fino, y ese vocabulario se construye haciendo distinciones.</w:t>
      </w:r>
    </w:p>
    <w:p w:rsidR="006A7267" w:rsidRDefault="00B7046D">
      <w:pPr>
        <w:spacing w:after="200" w:line="320" w:lineRule="auto"/>
        <w:jc w:val="both"/>
      </w:pPr>
      <w:r>
        <w:t>En la práctica</w:t>
      </w:r>
      <w:r>
        <w:t xml:space="preserve"> clínica y en la vida cotidiana conviene trabajar con tres categorías, aunque sus bordes no sean tajantes. Un primer ejercicio de contraste lo vuelve concreto: pensemos en alguien que, años después de la pandemia, siente todavía una ansiedad leve cada vez </w:t>
      </w:r>
      <w:r>
        <w:t>que entra a</w:t>
      </w:r>
      <w:r w:rsidR="00BE6443">
        <w:t xml:space="preserve"> un espacio muy concurrido. ¿Configura</w:t>
      </w:r>
      <w:r>
        <w:t xml:space="preserve"> un cuadro clínico</w:t>
      </w:r>
      <w:r w:rsidR="00BE6443">
        <w:t>?</w:t>
      </w:r>
      <w:r>
        <w:t xml:space="preserve"> Es malestar, ese sufrimiento ordinario que forma parte de la vida —también de una vida que atravesó un evento colectivo— y que responde a lo que ocurrió; </w:t>
      </w:r>
      <w:r w:rsidR="00BE6443">
        <w:t xml:space="preserve">si no eclosionó un conflicto </w:t>
      </w:r>
      <w:r w:rsidR="00CE4474">
        <w:t xml:space="preserve">que escapa la consciencia, este padecimiento menor </w:t>
      </w:r>
      <w:r>
        <w:t xml:space="preserve">suele ceder cuando las circunstancias </w:t>
      </w:r>
      <w:r>
        <w:t>cambian o cuando logramos reorganizar la vida en torno a ellas. Pensemos ahora en alguien que, en el mismo contexto, no ha vuelto a salir de casa, ha perdido el sueño y no puede sostener su trabajo: cuando el sufrimiento se vuelve persistente, interfiere c</w:t>
      </w:r>
      <w:r>
        <w:t>on los vínculos y no cede con los recursos habituales —conversación, descanso, apoy</w:t>
      </w:r>
      <w:r w:rsidR="00CE4474">
        <w:t>o cercano— hablamos de una afectación que será más trabajosa de atender</w:t>
      </w:r>
      <w:r>
        <w:t>.</w:t>
      </w:r>
    </w:p>
    <w:p w:rsidR="00CE4474" w:rsidRDefault="00B7046D">
      <w:pPr>
        <w:spacing w:after="200" w:line="320" w:lineRule="auto"/>
        <w:jc w:val="both"/>
      </w:pPr>
      <w:r>
        <w:lastRenderedPageBreak/>
        <w:t>Un segundo ejercicio de contraste: el estrés laboral que tantos costarricenses reconocen como marca de los últimos años. En un caso es cans</w:t>
      </w:r>
      <w:r>
        <w:t>ancio acum</w:t>
      </w:r>
      <w:r>
        <w:t>ulado que</w:t>
      </w:r>
      <w:r w:rsidR="00CE4474">
        <w:t xml:space="preserve"> con</w:t>
      </w:r>
      <w:r>
        <w:t xml:space="preserve"> una semana de descanso</w:t>
      </w:r>
      <w:r>
        <w:t>, un cambio de hábitos y una con</w:t>
      </w:r>
      <w:r w:rsidR="00CE4474">
        <w:t>versación honesta con la pareja, se mitiga el</w:t>
      </w:r>
      <w:r>
        <w:t xml:space="preserve"> malestar en sentido estricto.</w:t>
      </w:r>
      <w:r w:rsidR="00CE4474">
        <w:t xml:space="preserve"> Son todas medidas que pudiésemos tomar sin que nadie nos diga, aunque a veces no se nos ocurran.</w:t>
      </w:r>
    </w:p>
    <w:p w:rsidR="006A7267" w:rsidRDefault="00B7046D">
      <w:pPr>
        <w:spacing w:after="200" w:line="320" w:lineRule="auto"/>
        <w:jc w:val="both"/>
      </w:pPr>
      <w:r>
        <w:t>En otro caso, el mismo cuadro aparente encubre una depresión mayor que requiere acompañamiento clínico sostenid</w:t>
      </w:r>
      <w:r>
        <w:t>o, porque hay signos —</w:t>
      </w:r>
      <w:proofErr w:type="spellStart"/>
      <w:r>
        <w:t>anhedonia</w:t>
      </w:r>
      <w:proofErr w:type="spellEnd"/>
      <w:r>
        <w:t xml:space="preserve"> prolongada, pensamientos de muerte, deterioro funcional marcado— que la clínica reconoce como relativamente estables a través de culturas y épocas. Ese territorio —</w:t>
      </w:r>
      <w:r w:rsidR="00CE4474">
        <w:t xml:space="preserve"> de descompensaciones donde podrían entrar</w:t>
      </w:r>
      <w:r>
        <w:t xml:space="preserve"> también la</w:t>
      </w:r>
      <w:r w:rsidR="00CE4474">
        <w:t>s</w:t>
      </w:r>
      <w:r>
        <w:t xml:space="preserve"> psicosis o el trastorno bipolar— es </w:t>
      </w:r>
      <w:r>
        <w:t>el que llamamos enfermedad o cuadro clínico estructurado. La diferencia entre uno y otro no siempre es visible desde fuera, ni siquiera desde dentro. Lo que los separa no es la intensidad subjetiva del sufrimiento, sino la respuesta que pide.</w:t>
      </w:r>
    </w:p>
    <w:p w:rsidR="006A7267" w:rsidRDefault="00B7046D">
      <w:pPr>
        <w:spacing w:after="200" w:line="320" w:lineRule="auto"/>
        <w:jc w:val="both"/>
      </w:pPr>
      <w:r>
        <w:t>La distinción</w:t>
      </w:r>
      <w:r>
        <w:t>, por tanto, es operativa, no ontológica: sirve para orientar la conducta, no para decir qué “es” el malestar en el fondo</w:t>
      </w:r>
      <w:r w:rsidR="00CE4474">
        <w:t>, mucho menos para etiquetar a las personas. Estas distinciones</w:t>
      </w:r>
      <w:r>
        <w:t xml:space="preserve"> en los bordes se vuelve</w:t>
      </w:r>
      <w:r w:rsidR="00CE4474">
        <w:t>n</w:t>
      </w:r>
      <w:r>
        <w:t xml:space="preserve"> borrosa</w:t>
      </w:r>
      <w:r w:rsidR="00CE4474">
        <w:t xml:space="preserve">s. Una ansiedad </w:t>
      </w:r>
      <w:proofErr w:type="spellStart"/>
      <w:r w:rsidR="00CE4474">
        <w:t>postpandemia</w:t>
      </w:r>
      <w:proofErr w:type="spellEnd"/>
      <w:r w:rsidR="00CE4474">
        <w:t xml:space="preserve"> si</w:t>
      </w:r>
      <w:r>
        <w:t xml:space="preserve"> se prolonga demasiado, ¿sigue siendo malestar o ya es trastorno? Un </w:t>
      </w:r>
      <w:r>
        <w:t>estrés laboral que la vida explica perfectamente, ¿se convierte en depresión solo porque duró más de dos semanas, como sugiere el manual? Aquí empieza la discusión que ocuparán los especialistas. Pero antes de entrar en ella vale la pena detenernos en algo</w:t>
      </w:r>
      <w:r>
        <w:t>: que estas tres categorías no se dibujen con línea clara no es un fracaso del pensamiento, sino una propiedad del objeto. La salud mental se juega en un terreno donde lo biológico, lo biográfico y lo cultural se tejen sin que sea posible —ni deseable— sep</w:t>
      </w:r>
      <w:r>
        <w:t>ararlos del todo</w:t>
      </w:r>
      <w:r w:rsidR="00CE4474">
        <w:t>, sin que sea tan siquiera conveniente separar de lo completamente singular de cada quien</w:t>
      </w:r>
      <w:r>
        <w:t>.</w:t>
      </w:r>
    </w:p>
    <w:p w:rsidR="006A7267" w:rsidRDefault="00B7046D">
      <w:pPr>
        <w:spacing w:after="200" w:line="320" w:lineRule="auto"/>
        <w:jc w:val="both"/>
      </w:pPr>
      <w:r>
        <w:t xml:space="preserve">La borrosidad de la frontera no es un descuido moderno. Es un problema que la filosofía de la medicina ha pensado desde hace mucho. El filósofo francés Georges </w:t>
      </w:r>
      <w:proofErr w:type="spellStart"/>
      <w:r>
        <w:t>Canguilhem</w:t>
      </w:r>
      <w:proofErr w:type="spellEnd"/>
      <w:r>
        <w:t>, en su tesis de 1943 Lo normal y lo</w:t>
      </w:r>
      <w:r>
        <w:t xml:space="preserve"> patológico —uno de los libros más influyentes del siglo XX sobre este asunto—, argumentó que “lo normal” no se define por un promedio estadístico ni por un ideal abstracto, sino por la norma que un organismo o una persona puede sostener en sus condiciones</w:t>
      </w:r>
      <w:r>
        <w:t xml:space="preserve"> concretas. La salud, escribe </w:t>
      </w:r>
      <w:proofErr w:type="spellStart"/>
      <w:r>
        <w:t>Canguilhem</w:t>
      </w:r>
      <w:proofErr w:type="spellEnd"/>
      <w:r>
        <w:t xml:space="preserve">, no es un estado fijo sino una capacidad: la de instalar nuevas normas cuando las circunstancias cambian. Un corredor joven y un adulto mayor con artritis no comparten el mismo nivel de desempeño físico, pero ambos </w:t>
      </w:r>
      <w:r>
        <w:t xml:space="preserve">pueden estar plenamente sanos si viven conforme a la norma que su vida les exige. </w:t>
      </w:r>
      <w:r>
        <w:lastRenderedPageBreak/>
        <w:t>Trasladado a lo mental, el planteamiento vale igual: no hay “mente normal” en abstracto; hay modos de vida y una capacidad —más o menos lograda— de habitarlos.</w:t>
      </w:r>
    </w:p>
    <w:p w:rsidR="006A7267" w:rsidRDefault="00B7046D">
      <w:pPr>
        <w:spacing w:after="200" w:line="320" w:lineRule="auto"/>
        <w:jc w:val="both"/>
      </w:pPr>
      <w:r>
        <w:t>El sociólogo A</w:t>
      </w:r>
      <w:r>
        <w:t xml:space="preserve">llan </w:t>
      </w:r>
      <w:proofErr w:type="spellStart"/>
      <w:r>
        <w:t>Horwitz</w:t>
      </w:r>
      <w:proofErr w:type="spellEnd"/>
      <w:r>
        <w:t xml:space="preserve"> y el filósofo Jerome Wakefield llevaron esa intuición al terreno clínico contemporáneo en </w:t>
      </w:r>
      <w:proofErr w:type="spellStart"/>
      <w:r>
        <w:t>The</w:t>
      </w:r>
      <w:proofErr w:type="spellEnd"/>
      <w:r>
        <w:t xml:space="preserve"> </w:t>
      </w:r>
      <w:proofErr w:type="spellStart"/>
      <w:r>
        <w:t>Loss</w:t>
      </w:r>
      <w:proofErr w:type="spellEnd"/>
      <w:r>
        <w:t xml:space="preserve"> of </w:t>
      </w:r>
      <w:proofErr w:type="spellStart"/>
      <w:r>
        <w:t>Sadness</w:t>
      </w:r>
      <w:proofErr w:type="spellEnd"/>
      <w:r>
        <w:t xml:space="preserve">: </w:t>
      </w:r>
      <w:proofErr w:type="spellStart"/>
      <w:r>
        <w:t>How</w:t>
      </w:r>
      <w:proofErr w:type="spellEnd"/>
      <w:r>
        <w:t xml:space="preserve"> </w:t>
      </w:r>
      <w:proofErr w:type="spellStart"/>
      <w:r>
        <w:t>Psychiatry</w:t>
      </w:r>
      <w:proofErr w:type="spellEnd"/>
      <w:r>
        <w:t xml:space="preserve"> </w:t>
      </w:r>
      <w:proofErr w:type="spellStart"/>
      <w:r>
        <w:t>Transformed</w:t>
      </w:r>
      <w:proofErr w:type="spellEnd"/>
      <w:r>
        <w:t xml:space="preserve"> Normal </w:t>
      </w:r>
      <w:proofErr w:type="spellStart"/>
      <w:r>
        <w:t>Sorrow</w:t>
      </w:r>
      <w:proofErr w:type="spellEnd"/>
      <w:r>
        <w:t xml:space="preserve"> </w:t>
      </w:r>
      <w:proofErr w:type="spellStart"/>
      <w:r>
        <w:t>into</w:t>
      </w:r>
      <w:proofErr w:type="spellEnd"/>
      <w:r>
        <w:t xml:space="preserve"> </w:t>
      </w:r>
      <w:proofErr w:type="spellStart"/>
      <w:r>
        <w:t>Depressive</w:t>
      </w:r>
      <w:proofErr w:type="spellEnd"/>
      <w:r>
        <w:t xml:space="preserve"> </w:t>
      </w:r>
      <w:proofErr w:type="spellStart"/>
      <w:r>
        <w:t>Disorder</w:t>
      </w:r>
      <w:proofErr w:type="spellEnd"/>
      <w:r>
        <w:t xml:space="preserve"> (Oxford </w:t>
      </w:r>
      <w:proofErr w:type="spellStart"/>
      <w:r>
        <w:t>University</w:t>
      </w:r>
      <w:proofErr w:type="spellEnd"/>
      <w:r>
        <w:t xml:space="preserve"> </w:t>
      </w:r>
      <w:proofErr w:type="spellStart"/>
      <w:r>
        <w:t>Press</w:t>
      </w:r>
      <w:proofErr w:type="spellEnd"/>
      <w:r>
        <w:t xml:space="preserve">, 2007). Su tesis es precisa. Durante más </w:t>
      </w:r>
      <w:r>
        <w:t xml:space="preserve">de dos mil años —de Hipócrates a </w:t>
      </w:r>
      <w:proofErr w:type="spellStart"/>
      <w:r>
        <w:t>Kraepelin</w:t>
      </w:r>
      <w:proofErr w:type="spellEnd"/>
      <w:r>
        <w:t xml:space="preserve"> y Freud—, la medicina distinguió entre la tristeza con causa (producida por una pérdida, un revés, una circunstancia) y la melancolía sin causa aparente (que parecía brotar desde dentro del sujeto). La primera era</w:t>
      </w:r>
      <w:r>
        <w:t xml:space="preserve"> parte de la vida; la segunda, una patología. El DSM-III de 1980 y sus sucesores colapsaron esa distinción al adoptar criterios puramente sintomáticos: si una persona cumple con un número suficiente de síntomas durante dos semanas, recibe el diagnóstico de</w:t>
      </w:r>
      <w:r>
        <w:t xml:space="preserve"> depresión mayor, con independencia de lo que haya ocurrido en su vida. La pregunta que quedó abierta al cierre del Nivel 2 </w:t>
      </w:r>
      <w:proofErr w:type="gramStart"/>
      <w:r>
        <w:t>—¿</w:t>
      </w:r>
      <w:proofErr w:type="gramEnd"/>
      <w:r>
        <w:t>una tristeza que la vida explica se vuelve depresión solo porque duró más de dos semanas?— no es un reparo estilístico; es exactam</w:t>
      </w:r>
      <w:r>
        <w:t xml:space="preserve">ente la objeción que </w:t>
      </w:r>
      <w:proofErr w:type="spellStart"/>
      <w:r>
        <w:t>Horwitz</w:t>
      </w:r>
      <w:proofErr w:type="spellEnd"/>
      <w:r>
        <w:t xml:space="preserve"> y Wakefield desarrollan con la historia de la psiquiatría en la mano.</w:t>
      </w:r>
    </w:p>
    <w:p w:rsidR="006A7267" w:rsidRDefault="00B7046D">
      <w:pPr>
        <w:spacing w:after="200" w:line="320" w:lineRule="auto"/>
        <w:jc w:val="both"/>
      </w:pPr>
      <w:r>
        <w:t xml:space="preserve">La crítica más incómoda, sin embargo, no viene de fuera de la psiquiatría sino de su propia cúpula. Allen </w:t>
      </w:r>
      <w:proofErr w:type="spellStart"/>
      <w:r>
        <w:t>Frances</w:t>
      </w:r>
      <w:proofErr w:type="spellEnd"/>
      <w:r>
        <w:t xml:space="preserve">, psiquiatra de la Universidad de </w:t>
      </w:r>
      <w:proofErr w:type="spellStart"/>
      <w:r>
        <w:t>Duke</w:t>
      </w:r>
      <w:proofErr w:type="spellEnd"/>
      <w:r>
        <w:t xml:space="preserve"> y pre</w:t>
      </w:r>
      <w:r>
        <w:t xml:space="preserve">sidente del grupo de trabajo que elaboró el DSM-IV —el manual diagnóstico anterior al actual—, publicó en 2013 </w:t>
      </w:r>
      <w:proofErr w:type="spellStart"/>
      <w:r>
        <w:t>Saving</w:t>
      </w:r>
      <w:proofErr w:type="spellEnd"/>
      <w:r>
        <w:t xml:space="preserve"> Normal (</w:t>
      </w:r>
      <w:proofErr w:type="spellStart"/>
      <w:r>
        <w:t>HarperCollins</w:t>
      </w:r>
      <w:proofErr w:type="spellEnd"/>
      <w:r>
        <w:t xml:space="preserve">), un libro cuyo título habla por sí mismo: Salvar lo normal. Su advertencia, dirigida a sus propios colegas, es que </w:t>
      </w:r>
      <w:r>
        <w:t xml:space="preserve">el DSM-5 amplió los umbrales diagnósticos de un modo que </w:t>
      </w:r>
      <w:proofErr w:type="spellStart"/>
      <w:r>
        <w:t>medicaliza</w:t>
      </w:r>
      <w:proofErr w:type="spellEnd"/>
      <w:r>
        <w:t xml:space="preserve"> la vida cotidiana. Las rabietas infantiles se volvieron trastorno de desregulación disruptiva del estado de ánimo; el olvido del envejecimiento, trastorno </w:t>
      </w:r>
      <w:proofErr w:type="spellStart"/>
      <w:r>
        <w:t>neurocognitivo</w:t>
      </w:r>
      <w:proofErr w:type="spellEnd"/>
      <w:r>
        <w:t xml:space="preserve"> leve; los duelos p</w:t>
      </w:r>
      <w:r>
        <w:t xml:space="preserve">rolongados, episodios depresivos. </w:t>
      </w:r>
      <w:proofErr w:type="spellStart"/>
      <w:r>
        <w:t>Frances</w:t>
      </w:r>
      <w:proofErr w:type="spellEnd"/>
      <w:r>
        <w:t xml:space="preserve"> llama al fenómeno “inflación diagnóstica” y señala sus tres motores principales: la presión comercial de la industria farmacéutica, los incentivos de los sistemas de cobertura (que a menudo solo pagan si hay diagnó</w:t>
      </w:r>
      <w:r>
        <w:t xml:space="preserve">stico), y un deseo bienintencionado de no dejar a nadie sin ayuda. Importa leerlo con atención: </w:t>
      </w:r>
      <w:proofErr w:type="spellStart"/>
      <w:r>
        <w:t>Frances</w:t>
      </w:r>
      <w:proofErr w:type="spellEnd"/>
      <w:r>
        <w:t xml:space="preserve"> no es un </w:t>
      </w:r>
      <w:proofErr w:type="spellStart"/>
      <w:r>
        <w:t>antipsiquiatra</w:t>
      </w:r>
      <w:proofErr w:type="spellEnd"/>
      <w:r>
        <w:t xml:space="preserve"> ni un detractor de los diagnósticos clínicos. Defiende la psiquiatría y el DSM. Precisamente por eso insiste en que la integrida</w:t>
      </w:r>
      <w:r>
        <w:t xml:space="preserve">d del proyecto depende de no </w:t>
      </w:r>
      <w:proofErr w:type="spellStart"/>
      <w:r>
        <w:t>medicalizar</w:t>
      </w:r>
      <w:proofErr w:type="spellEnd"/>
      <w:r>
        <w:t xml:space="preserve"> lo que no hace falta </w:t>
      </w:r>
      <w:proofErr w:type="spellStart"/>
      <w:r>
        <w:t>medicalizar</w:t>
      </w:r>
      <w:proofErr w:type="spellEnd"/>
      <w:r>
        <w:t>.</w:t>
      </w:r>
    </w:p>
    <w:p w:rsidR="006A7267" w:rsidRDefault="00B7046D">
      <w:pPr>
        <w:spacing w:after="200" w:line="320" w:lineRule="auto"/>
        <w:jc w:val="both"/>
      </w:pPr>
      <w:r>
        <w:t>La discusión deja de ser libresca cuando uno mira las cifras. En todo el mundo, el consumo de antidepresivos y ansiolíticos ha crecido de forma sostenida en las últimas dos décadas;</w:t>
      </w:r>
      <w:r>
        <w:t xml:space="preserve"> informes de la Organización Panamericana de la Salud y reportes de la Caja Costarricense de Seguro Social documentan un incremento significativo de las prescripciones </w:t>
      </w:r>
      <w:r>
        <w:lastRenderedPageBreak/>
        <w:t>psicofarmacológicas en la región, acentuado a partir de la pandemia de COVID-19. Nada de</w:t>
      </w:r>
      <w:r>
        <w:t xml:space="preserve"> esto prueba, por sí solo, que exista </w:t>
      </w:r>
      <w:proofErr w:type="spellStart"/>
      <w:r>
        <w:t>sobrediagnóstico</w:t>
      </w:r>
      <w:proofErr w:type="spellEnd"/>
      <w:r>
        <w:t xml:space="preserve"> —el aumento también refleja reducción del estigma, más personas buscando ayuda y mejora en el acceso a servicios. Pero los números obligan a tomar en serio la inquietud compartida por </w:t>
      </w:r>
      <w:proofErr w:type="spellStart"/>
      <w:r>
        <w:t>Canguilhem</w:t>
      </w:r>
      <w:proofErr w:type="spellEnd"/>
      <w:r>
        <w:t xml:space="preserve">, </w:t>
      </w:r>
      <w:proofErr w:type="spellStart"/>
      <w:r>
        <w:t>Horwi</w:t>
      </w:r>
      <w:r>
        <w:t>tz</w:t>
      </w:r>
      <w:proofErr w:type="spellEnd"/>
      <w:r>
        <w:t xml:space="preserve">, Wakefield y </w:t>
      </w:r>
      <w:proofErr w:type="spellStart"/>
      <w:r>
        <w:t>Frances</w:t>
      </w:r>
      <w:proofErr w:type="spellEnd"/>
      <w:r>
        <w:t>: cualquier definición de salud mental que ignore el contexto biográfico, cultural e histórico es una definición incompleta. La distinción entre malestar, trastorno y enfermedad sigue siendo útil, pero solo si se practica con humilda</w:t>
      </w:r>
      <w:r>
        <w:t>d —sabiendo que los bordes son borrosos, que la historia de cada persona pesa, y que el manual es una herramienta, no un árbitro. Eso no vuelve arbitrario el diagnóstico: lo vuelve responsable.</w:t>
      </w:r>
    </w:p>
    <w:p w:rsidR="006A7267" w:rsidRDefault="00B7046D">
      <w:pPr>
        <w:spacing w:after="200" w:line="320" w:lineRule="auto"/>
        <w:jc w:val="both"/>
      </w:pPr>
      <w:r>
        <w:t xml:space="preserve">Volvamos a la semana difícil del </w:t>
      </w:r>
      <w:r>
        <w:t>inicio. Ahora tenemos más herramientas para mirarla. La pregunta “¿estoy bien?” no se responde con un sí o un no, ni se resuelve consultando la definición oficial. Se responde atendiendo al contexto —qué ocurrió, qué recursos tenemos, cuánto dura, cuánto i</w:t>
      </w:r>
      <w:r>
        <w:t>nterfiere— y distinguiendo entre lo que pide un cambio de hábitos (más descanso, menos pantalla, una conversación pendiente), lo que pide acompañamiento terapéutico (un proceso para entender lo que nos está pasando</w:t>
      </w:r>
      <w:r w:rsidR="001975BA">
        <w:t>, más allá de lo que podemos dar cuenta por nosotros mismos</w:t>
      </w:r>
      <w:r>
        <w:t>) y lo que necesita una intervención clíni</w:t>
      </w:r>
      <w:r>
        <w:t>ca más estructurada (un equipo que incluya evaluación p</w:t>
      </w:r>
      <w:r w:rsidR="001975BA">
        <w:t>sicológica, cambios profundos en la alimentación y la rutina</w:t>
      </w:r>
      <w:r>
        <w:t xml:space="preserve">). No son tres mundos separados sino tres respuestas graduales a un mismo terreno, y saberlas distinguir protege de dos errores simétricos: </w:t>
      </w:r>
      <w:proofErr w:type="spellStart"/>
      <w:r>
        <w:t>patologizar</w:t>
      </w:r>
      <w:proofErr w:type="spellEnd"/>
      <w:r>
        <w:t xml:space="preserve"> lo que no lo requiere, o dejar sin res</w:t>
      </w:r>
      <w:r w:rsidR="001975BA">
        <w:t>puesta lo que si merece invertir en ayuda</w:t>
      </w:r>
      <w:r>
        <w:t xml:space="preserve"> profesional.</w:t>
      </w:r>
    </w:p>
    <w:p w:rsidR="006A7267" w:rsidRDefault="00B7046D">
      <w:pPr>
        <w:spacing w:after="200" w:line="320" w:lineRule="auto"/>
        <w:jc w:val="both"/>
      </w:pPr>
      <w:r>
        <w:t>Queda, sin embargo, una pregunta incómoda, s</w:t>
      </w:r>
      <w:r>
        <w:t>i la salud mental se juega en un terreno donde lo biológico, lo biográfico y lo cultural se entretejen, entonces la cultura misma —la épo</w:t>
      </w:r>
      <w:r>
        <w:t>ca, el país, el idioma en que sufrimos— condiciona lo que reconocemos como malestar, trastorno o enfermedad. ¿Significa eso que cada cultura tiene su propia locura? ¿Es la salud mental una construcción histórica, o hay algo universal debajo de las formas q</w:t>
      </w:r>
      <w:r>
        <w:t xml:space="preserve">ue adopta? </w:t>
      </w:r>
      <w:bookmarkStart w:id="0" w:name="_GoBack"/>
      <w:bookmarkEnd w:id="0"/>
    </w:p>
    <w:p w:rsidR="006A7267" w:rsidRDefault="00B7046D">
      <w:r>
        <w:br w:type="page"/>
      </w:r>
    </w:p>
    <w:p w:rsidR="006A7267" w:rsidRDefault="00B7046D">
      <w:pPr>
        <w:pStyle w:val="Ttulo1"/>
      </w:pPr>
      <w:r>
        <w:lastRenderedPageBreak/>
        <w:t>Segmento 2 — El problema del relativismo</w:t>
      </w:r>
    </w:p>
    <w:p w:rsidR="006A7267" w:rsidRDefault="00B7046D">
      <w:pPr>
        <w:pStyle w:val="Ttulo3"/>
      </w:pPr>
      <w:r>
        <w:t>Nivel 1 — Base</w:t>
      </w:r>
    </w:p>
    <w:p w:rsidR="006A7267" w:rsidRDefault="00B7046D">
      <w:pPr>
        <w:spacing w:after="200" w:line="320" w:lineRule="auto"/>
        <w:jc w:val="both"/>
      </w:pPr>
      <w:r>
        <w:rPr>
          <w:i/>
          <w:iCs/>
          <w:color w:val="7F7F7F"/>
        </w:rPr>
        <w:t>[Pendiente]</w:t>
      </w:r>
    </w:p>
    <w:p w:rsidR="006A7267" w:rsidRDefault="00B7046D">
      <w:pPr>
        <w:pStyle w:val="Ttulo3"/>
      </w:pPr>
      <w:r>
        <w:t>Nivel 2 — Encuadre</w:t>
      </w:r>
    </w:p>
    <w:p w:rsidR="006A7267" w:rsidRDefault="00B7046D">
      <w:pPr>
        <w:spacing w:after="200" w:line="320" w:lineRule="auto"/>
        <w:jc w:val="both"/>
      </w:pPr>
      <w:r>
        <w:rPr>
          <w:i/>
          <w:iCs/>
          <w:color w:val="7F7F7F"/>
        </w:rPr>
        <w:t>[Pendiente]</w:t>
      </w:r>
    </w:p>
    <w:p w:rsidR="006A7267" w:rsidRDefault="00B7046D">
      <w:pPr>
        <w:pStyle w:val="Ttulo3"/>
      </w:pPr>
      <w:r>
        <w:t>Nivel 3 — Tensión especializada</w:t>
      </w:r>
    </w:p>
    <w:p w:rsidR="006A7267" w:rsidRDefault="00B7046D">
      <w:pPr>
        <w:spacing w:after="200" w:line="320" w:lineRule="auto"/>
        <w:jc w:val="both"/>
      </w:pPr>
      <w:r>
        <w:rPr>
          <w:i/>
          <w:iCs/>
          <w:color w:val="7F7F7F"/>
        </w:rPr>
        <w:t xml:space="preserve">[Pendiente: </w:t>
      </w:r>
      <w:proofErr w:type="spellStart"/>
      <w:r>
        <w:rPr>
          <w:i/>
          <w:iCs/>
          <w:color w:val="7F7F7F"/>
        </w:rPr>
        <w:t>Kleinman</w:t>
      </w:r>
      <w:proofErr w:type="spellEnd"/>
      <w:r>
        <w:rPr>
          <w:i/>
          <w:iCs/>
          <w:color w:val="7F7F7F"/>
        </w:rPr>
        <w:t xml:space="preserve">, </w:t>
      </w:r>
      <w:proofErr w:type="spellStart"/>
      <w:r>
        <w:rPr>
          <w:i/>
          <w:iCs/>
          <w:color w:val="7F7F7F"/>
        </w:rPr>
        <w:t>Geertz</w:t>
      </w:r>
      <w:proofErr w:type="spellEnd"/>
      <w:r>
        <w:rPr>
          <w:i/>
          <w:iCs/>
          <w:color w:val="7F7F7F"/>
        </w:rPr>
        <w:t xml:space="preserve">, Byron </w:t>
      </w:r>
      <w:proofErr w:type="spellStart"/>
      <w:r>
        <w:rPr>
          <w:i/>
          <w:iCs/>
          <w:color w:val="7F7F7F"/>
        </w:rPr>
        <w:t>Good</w:t>
      </w:r>
      <w:proofErr w:type="spellEnd"/>
      <w:r>
        <w:rPr>
          <w:i/>
          <w:iCs/>
          <w:color w:val="7F7F7F"/>
        </w:rPr>
        <w:t>; relativismo descriptivo vs normativo.]</w:t>
      </w:r>
    </w:p>
    <w:p w:rsidR="006A7267" w:rsidRDefault="00B7046D">
      <w:pPr>
        <w:pStyle w:val="Ttulo3"/>
      </w:pPr>
      <w:r>
        <w:t>Nivel 4 — Síntesis y retorno</w:t>
      </w:r>
    </w:p>
    <w:p w:rsidR="006A7267" w:rsidRDefault="00B7046D">
      <w:pPr>
        <w:spacing w:after="200" w:line="320" w:lineRule="auto"/>
        <w:jc w:val="both"/>
      </w:pPr>
      <w:r>
        <w:rPr>
          <w:i/>
          <w:iCs/>
          <w:color w:val="7F7F7F"/>
        </w:rPr>
        <w:t>[Pendiente]</w:t>
      </w:r>
    </w:p>
    <w:p w:rsidR="006A7267" w:rsidRDefault="00B7046D">
      <w:r>
        <w:br w:type="page"/>
      </w:r>
    </w:p>
    <w:p w:rsidR="006A7267" w:rsidRDefault="00B7046D">
      <w:pPr>
        <w:pStyle w:val="Ttulo1"/>
      </w:pPr>
      <w:r>
        <w:lastRenderedPageBreak/>
        <w:t>Segmento 3 — Breve historia del malestar y sus tratamientos</w:t>
      </w:r>
    </w:p>
    <w:p w:rsidR="006A7267" w:rsidRDefault="00B7046D">
      <w:pPr>
        <w:pStyle w:val="Ttulo3"/>
      </w:pPr>
      <w:r>
        <w:t>Nivel 1 — Base</w:t>
      </w:r>
    </w:p>
    <w:p w:rsidR="006A7267" w:rsidRDefault="00B7046D">
      <w:pPr>
        <w:spacing w:after="200" w:line="320" w:lineRule="auto"/>
        <w:jc w:val="both"/>
      </w:pPr>
      <w:r>
        <w:rPr>
          <w:i/>
          <w:iCs/>
          <w:color w:val="7F7F7F"/>
        </w:rPr>
        <w:t>[Pendiente]</w:t>
      </w:r>
    </w:p>
    <w:p w:rsidR="006A7267" w:rsidRDefault="00B7046D">
      <w:pPr>
        <w:pStyle w:val="Ttulo3"/>
      </w:pPr>
      <w:r>
        <w:t>Nivel 2 — Encuadre</w:t>
      </w:r>
    </w:p>
    <w:p w:rsidR="006A7267" w:rsidRDefault="00B7046D">
      <w:pPr>
        <w:spacing w:after="200" w:line="320" w:lineRule="auto"/>
        <w:jc w:val="both"/>
      </w:pPr>
      <w:r>
        <w:rPr>
          <w:i/>
          <w:iCs/>
          <w:color w:val="7F7F7F"/>
        </w:rPr>
        <w:t>[Pendiente: del humoralismo hipocrático a la melancolía medieval, del asilo clásico al psicoanálisis y los psicofármacos.]</w:t>
      </w:r>
    </w:p>
    <w:p w:rsidR="006A7267" w:rsidRDefault="00B7046D">
      <w:pPr>
        <w:pStyle w:val="Ttulo3"/>
      </w:pPr>
      <w:r>
        <w:t>Nivel 3 — Tensión especializada</w:t>
      </w:r>
    </w:p>
    <w:p w:rsidR="006A7267" w:rsidRDefault="00B7046D">
      <w:pPr>
        <w:spacing w:after="200" w:line="320" w:lineRule="auto"/>
        <w:jc w:val="both"/>
      </w:pPr>
      <w:r>
        <w:rPr>
          <w:i/>
          <w:iCs/>
          <w:color w:val="7F7F7F"/>
        </w:rPr>
        <w:t xml:space="preserve">[Pendiente: Foucault (Historia de la locura), Pinel, </w:t>
      </w:r>
      <w:proofErr w:type="spellStart"/>
      <w:r>
        <w:rPr>
          <w:i/>
          <w:iCs/>
          <w:color w:val="7F7F7F"/>
        </w:rPr>
        <w:t>Kraepelin</w:t>
      </w:r>
      <w:proofErr w:type="spellEnd"/>
      <w:r>
        <w:rPr>
          <w:i/>
          <w:iCs/>
          <w:color w:val="7F7F7F"/>
        </w:rPr>
        <w:t xml:space="preserve">, Freud, </w:t>
      </w:r>
      <w:proofErr w:type="spellStart"/>
      <w:r>
        <w:rPr>
          <w:i/>
          <w:iCs/>
          <w:color w:val="7F7F7F"/>
        </w:rPr>
        <w:t>Laing</w:t>
      </w:r>
      <w:proofErr w:type="spellEnd"/>
      <w:r>
        <w:rPr>
          <w:i/>
          <w:iCs/>
          <w:color w:val="7F7F7F"/>
        </w:rPr>
        <w:t xml:space="preserve">, </w:t>
      </w:r>
      <w:proofErr w:type="spellStart"/>
      <w:r>
        <w:rPr>
          <w:i/>
          <w:iCs/>
          <w:color w:val="7F7F7F"/>
        </w:rPr>
        <w:t>Basaglia</w:t>
      </w:r>
      <w:proofErr w:type="spellEnd"/>
      <w:r>
        <w:rPr>
          <w:i/>
          <w:iCs/>
          <w:color w:val="7F7F7F"/>
        </w:rPr>
        <w:t>.]</w:t>
      </w:r>
    </w:p>
    <w:p w:rsidR="006A7267" w:rsidRDefault="00B7046D">
      <w:pPr>
        <w:pStyle w:val="Ttulo3"/>
      </w:pPr>
      <w:r>
        <w:t>Nivel 4 — Sí</w:t>
      </w:r>
      <w:r>
        <w:t>ntesis y retorno</w:t>
      </w:r>
    </w:p>
    <w:p w:rsidR="006A7267" w:rsidRDefault="00B7046D">
      <w:pPr>
        <w:spacing w:after="200" w:line="320" w:lineRule="auto"/>
        <w:jc w:val="both"/>
      </w:pPr>
      <w:r>
        <w:rPr>
          <w:i/>
          <w:iCs/>
          <w:color w:val="7F7F7F"/>
        </w:rPr>
        <w:t>[Pendiente]</w:t>
      </w:r>
    </w:p>
    <w:p w:rsidR="006A7267" w:rsidRDefault="00B7046D">
      <w:r>
        <w:br w:type="page"/>
      </w:r>
    </w:p>
    <w:p w:rsidR="006A7267" w:rsidRDefault="00B7046D">
      <w:pPr>
        <w:pStyle w:val="Ttulo1"/>
      </w:pPr>
      <w:r>
        <w:lastRenderedPageBreak/>
        <w:t>Segmento 4 — Estructuras mentales y época</w:t>
      </w:r>
    </w:p>
    <w:p w:rsidR="006A7267" w:rsidRDefault="00B7046D">
      <w:pPr>
        <w:pStyle w:val="Ttulo3"/>
      </w:pPr>
      <w:r>
        <w:t>Nivel 1 — Base</w:t>
      </w:r>
    </w:p>
    <w:p w:rsidR="006A7267" w:rsidRDefault="00B7046D">
      <w:pPr>
        <w:spacing w:after="200" w:line="320" w:lineRule="auto"/>
        <w:jc w:val="both"/>
      </w:pPr>
      <w:r>
        <w:rPr>
          <w:i/>
          <w:iCs/>
          <w:color w:val="7F7F7F"/>
        </w:rPr>
        <w:t>[Pendiente]</w:t>
      </w:r>
    </w:p>
    <w:p w:rsidR="006A7267" w:rsidRDefault="00B7046D">
      <w:pPr>
        <w:pStyle w:val="Ttulo3"/>
      </w:pPr>
      <w:r>
        <w:t>Nivel 2 — Encuadre</w:t>
      </w:r>
    </w:p>
    <w:p w:rsidR="006A7267" w:rsidRDefault="00B7046D">
      <w:pPr>
        <w:spacing w:after="200" w:line="320" w:lineRule="auto"/>
        <w:jc w:val="both"/>
      </w:pPr>
      <w:r>
        <w:rPr>
          <w:i/>
          <w:iCs/>
          <w:color w:val="7F7F7F"/>
        </w:rPr>
        <w:t>[Pendiente: estructura clínica vs. diagnóstico descriptivo; el sujeto y su época.]</w:t>
      </w:r>
    </w:p>
    <w:p w:rsidR="006A7267" w:rsidRDefault="00B7046D">
      <w:pPr>
        <w:pStyle w:val="Ttulo3"/>
      </w:pPr>
      <w:r>
        <w:t>Nivel 3 — Tensión especializada</w:t>
      </w:r>
    </w:p>
    <w:p w:rsidR="006A7267" w:rsidRDefault="00B7046D">
      <w:pPr>
        <w:spacing w:after="200" w:line="320" w:lineRule="auto"/>
        <w:jc w:val="both"/>
      </w:pPr>
      <w:r>
        <w:rPr>
          <w:i/>
          <w:iCs/>
          <w:color w:val="7F7F7F"/>
        </w:rPr>
        <w:t xml:space="preserve">[Pendiente: Freud (El </w:t>
      </w:r>
      <w:r>
        <w:rPr>
          <w:i/>
          <w:iCs/>
          <w:color w:val="7F7F7F"/>
        </w:rPr>
        <w:t xml:space="preserve">malestar en la cultura), Lacan (estructuras), </w:t>
      </w:r>
      <w:proofErr w:type="spellStart"/>
      <w:r>
        <w:rPr>
          <w:i/>
          <w:iCs/>
          <w:color w:val="7F7F7F"/>
        </w:rPr>
        <w:t>Ehrenberg</w:t>
      </w:r>
      <w:proofErr w:type="spellEnd"/>
      <w:r>
        <w:rPr>
          <w:i/>
          <w:iCs/>
          <w:color w:val="7F7F7F"/>
        </w:rPr>
        <w:t xml:space="preserve"> (La fatiga de ser uno mismo), </w:t>
      </w:r>
      <w:proofErr w:type="spellStart"/>
      <w:r>
        <w:rPr>
          <w:i/>
          <w:iCs/>
          <w:color w:val="7F7F7F"/>
        </w:rPr>
        <w:t>Byung-Chul</w:t>
      </w:r>
      <w:proofErr w:type="spellEnd"/>
      <w:r>
        <w:rPr>
          <w:i/>
          <w:iCs/>
          <w:color w:val="7F7F7F"/>
        </w:rPr>
        <w:t xml:space="preserve"> Han (La sociedad del cansancio), Mark Fisher (Realismo capitalista); </w:t>
      </w:r>
      <w:proofErr w:type="spellStart"/>
      <w:r>
        <w:rPr>
          <w:i/>
          <w:iCs/>
          <w:color w:val="7F7F7F"/>
        </w:rPr>
        <w:t>Szasz</w:t>
      </w:r>
      <w:proofErr w:type="spellEnd"/>
      <w:r>
        <w:rPr>
          <w:i/>
          <w:iCs/>
          <w:color w:val="7F7F7F"/>
        </w:rPr>
        <w:t xml:space="preserve"> y Whitaker como contrapunto.]</w:t>
      </w:r>
    </w:p>
    <w:p w:rsidR="006A7267" w:rsidRDefault="00B7046D">
      <w:pPr>
        <w:pStyle w:val="Ttulo3"/>
      </w:pPr>
      <w:r>
        <w:t>Nivel 4 — Síntesis y retorno</w:t>
      </w:r>
    </w:p>
    <w:p w:rsidR="006A7267" w:rsidRDefault="00B7046D">
      <w:pPr>
        <w:spacing w:after="200" w:line="320" w:lineRule="auto"/>
        <w:jc w:val="both"/>
      </w:pPr>
      <w:r>
        <w:rPr>
          <w:i/>
          <w:iCs/>
          <w:color w:val="7F7F7F"/>
        </w:rPr>
        <w:t>[Pendiente]</w:t>
      </w:r>
    </w:p>
    <w:p w:rsidR="006A7267" w:rsidRDefault="00B7046D">
      <w:r>
        <w:br w:type="page"/>
      </w:r>
    </w:p>
    <w:p w:rsidR="006A7267" w:rsidRDefault="00B7046D">
      <w:pPr>
        <w:pStyle w:val="Ttulo1"/>
      </w:pPr>
      <w:r>
        <w:lastRenderedPageBreak/>
        <w:t xml:space="preserve">Segmento 5 </w:t>
      </w:r>
      <w:r>
        <w:t>— La respuesta interdisciplinaria</w:t>
      </w:r>
    </w:p>
    <w:p w:rsidR="006A7267" w:rsidRDefault="00B7046D">
      <w:pPr>
        <w:pStyle w:val="Ttulo3"/>
      </w:pPr>
      <w:r>
        <w:t>Nivel 1 — Base</w:t>
      </w:r>
    </w:p>
    <w:p w:rsidR="006A7267" w:rsidRDefault="00B7046D">
      <w:pPr>
        <w:spacing w:after="200" w:line="320" w:lineRule="auto"/>
        <w:jc w:val="both"/>
      </w:pPr>
      <w:r>
        <w:rPr>
          <w:i/>
          <w:iCs/>
          <w:color w:val="7F7F7F"/>
        </w:rPr>
        <w:t>[Pendiente]</w:t>
      </w:r>
    </w:p>
    <w:p w:rsidR="006A7267" w:rsidRDefault="00B7046D">
      <w:pPr>
        <w:pStyle w:val="Ttulo3"/>
      </w:pPr>
      <w:r>
        <w:t>Nivel 2 — Encuadre</w:t>
      </w:r>
    </w:p>
    <w:p w:rsidR="006A7267" w:rsidRDefault="00B7046D">
      <w:pPr>
        <w:spacing w:after="200" w:line="320" w:lineRule="auto"/>
        <w:jc w:val="both"/>
      </w:pPr>
      <w:r>
        <w:rPr>
          <w:i/>
          <w:iCs/>
          <w:color w:val="7F7F7F"/>
        </w:rPr>
        <w:t>[Pendiente: por qué ninguna disciplina alcanza sola.]</w:t>
      </w:r>
    </w:p>
    <w:p w:rsidR="006A7267" w:rsidRDefault="00B7046D">
      <w:pPr>
        <w:pStyle w:val="Ttulo3"/>
      </w:pPr>
      <w:r>
        <w:t>Nivel 3 — Tensión especializada</w:t>
      </w:r>
    </w:p>
    <w:p w:rsidR="006A7267" w:rsidRDefault="00B7046D">
      <w:pPr>
        <w:spacing w:after="200" w:line="320" w:lineRule="auto"/>
        <w:jc w:val="both"/>
      </w:pPr>
      <w:r>
        <w:rPr>
          <w:i/>
          <w:iCs/>
          <w:color w:val="7F7F7F"/>
        </w:rPr>
        <w:t>[Pendiente: articulación psiquiatría + psicología + psicoanálisis + trabajo social; modelo</w:t>
      </w:r>
      <w:r>
        <w:rPr>
          <w:i/>
          <w:iCs/>
          <w:color w:val="7F7F7F"/>
        </w:rPr>
        <w:t>s de referencia internacional.]</w:t>
      </w:r>
    </w:p>
    <w:p w:rsidR="006A7267" w:rsidRDefault="00B7046D">
      <w:pPr>
        <w:pStyle w:val="Ttulo3"/>
      </w:pPr>
      <w:r>
        <w:t>Nivel 4 — Síntesis y retorno</w:t>
      </w:r>
    </w:p>
    <w:p w:rsidR="006A7267" w:rsidRDefault="00B7046D">
      <w:pPr>
        <w:spacing w:after="200" w:line="320" w:lineRule="auto"/>
        <w:jc w:val="both"/>
      </w:pPr>
      <w:r>
        <w:rPr>
          <w:i/>
          <w:iCs/>
          <w:color w:val="7F7F7F"/>
        </w:rPr>
        <w:t>[Pendiente: Salud Mental Costa Rica como encarnación concreta. Cierre sobrio.]</w:t>
      </w:r>
    </w:p>
    <w:p w:rsidR="006A7267" w:rsidRDefault="00B7046D">
      <w:r>
        <w:br w:type="page"/>
      </w:r>
    </w:p>
    <w:p w:rsidR="006A7267" w:rsidRDefault="00B7046D">
      <w:pPr>
        <w:pStyle w:val="Ttulo1"/>
      </w:pPr>
      <w:r>
        <w:lastRenderedPageBreak/>
        <w:t>Referencias</w:t>
      </w:r>
    </w:p>
    <w:p w:rsidR="006A7267" w:rsidRDefault="00B7046D">
      <w:pPr>
        <w:spacing w:after="200" w:line="320" w:lineRule="auto"/>
        <w:jc w:val="both"/>
      </w:pPr>
      <w:r>
        <w:rPr>
          <w:i/>
          <w:iCs/>
          <w:color w:val="7F7F7F"/>
        </w:rPr>
        <w:t>[Pendiente: bibliografía final en formato APA o Chicago, por definir. Clásicas, antropológicas, críticas contemporáneas e institucionales.]</w:t>
      </w:r>
    </w:p>
    <w:sectPr w:rsidR="006A72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56F1"/>
    <w:multiLevelType w:val="hybridMultilevel"/>
    <w:tmpl w:val="4704F944"/>
    <w:lvl w:ilvl="0" w:tplc="670CA62C">
      <w:start w:val="1"/>
      <w:numFmt w:val="bullet"/>
      <w:lvlText w:val="●"/>
      <w:lvlJc w:val="left"/>
      <w:pPr>
        <w:ind w:left="720" w:hanging="360"/>
      </w:pPr>
    </w:lvl>
    <w:lvl w:ilvl="1" w:tplc="6C7E918E">
      <w:start w:val="1"/>
      <w:numFmt w:val="bullet"/>
      <w:lvlText w:val="○"/>
      <w:lvlJc w:val="left"/>
      <w:pPr>
        <w:ind w:left="1440" w:hanging="360"/>
      </w:pPr>
    </w:lvl>
    <w:lvl w:ilvl="2" w:tplc="703AE8E8">
      <w:start w:val="1"/>
      <w:numFmt w:val="bullet"/>
      <w:lvlText w:val="■"/>
      <w:lvlJc w:val="left"/>
      <w:pPr>
        <w:ind w:left="2160" w:hanging="360"/>
      </w:pPr>
    </w:lvl>
    <w:lvl w:ilvl="3" w:tplc="9412F29E">
      <w:start w:val="1"/>
      <w:numFmt w:val="bullet"/>
      <w:lvlText w:val="●"/>
      <w:lvlJc w:val="left"/>
      <w:pPr>
        <w:ind w:left="2880" w:hanging="360"/>
      </w:pPr>
    </w:lvl>
    <w:lvl w:ilvl="4" w:tplc="2646C4B6">
      <w:start w:val="1"/>
      <w:numFmt w:val="bullet"/>
      <w:lvlText w:val="○"/>
      <w:lvlJc w:val="left"/>
      <w:pPr>
        <w:ind w:left="3600" w:hanging="360"/>
      </w:pPr>
    </w:lvl>
    <w:lvl w:ilvl="5" w:tplc="0F8814DE">
      <w:start w:val="1"/>
      <w:numFmt w:val="bullet"/>
      <w:lvlText w:val="■"/>
      <w:lvlJc w:val="left"/>
      <w:pPr>
        <w:ind w:left="4320" w:hanging="360"/>
      </w:pPr>
    </w:lvl>
    <w:lvl w:ilvl="6" w:tplc="DA825BA8">
      <w:start w:val="1"/>
      <w:numFmt w:val="bullet"/>
      <w:lvlText w:val="●"/>
      <w:lvlJc w:val="left"/>
      <w:pPr>
        <w:ind w:left="5040" w:hanging="360"/>
      </w:pPr>
    </w:lvl>
    <w:lvl w:ilvl="7" w:tplc="D75C91E6">
      <w:start w:val="1"/>
      <w:numFmt w:val="bullet"/>
      <w:lvlText w:val="●"/>
      <w:lvlJc w:val="left"/>
      <w:pPr>
        <w:ind w:left="5760" w:hanging="360"/>
      </w:pPr>
    </w:lvl>
    <w:lvl w:ilvl="8" w:tplc="90D26300">
      <w:start w:val="1"/>
      <w:numFmt w:val="bullet"/>
      <w:lvlText w:val="●"/>
      <w:lvlJc w:val="left"/>
      <w:pPr>
        <w:ind w:left="6480" w:hanging="360"/>
      </w:pPr>
    </w:lvl>
  </w:abstractNum>
  <w:abstractNum w:abstractNumId="1">
    <w:nsid w:val="3DD43360"/>
    <w:multiLevelType w:val="hybridMultilevel"/>
    <w:tmpl w:val="3612BF3C"/>
    <w:lvl w:ilvl="0" w:tplc="19CAC4E6">
      <w:start w:val="1"/>
      <w:numFmt w:val="bullet"/>
      <w:lvlText w:val="•"/>
      <w:lvlJc w:val="left"/>
      <w:pPr>
        <w:ind w:left="720" w:hanging="360"/>
      </w:pPr>
    </w:lvl>
    <w:lvl w:ilvl="1" w:tplc="49DA8826">
      <w:numFmt w:val="decimal"/>
      <w:lvlText w:val=""/>
      <w:lvlJc w:val="left"/>
    </w:lvl>
    <w:lvl w:ilvl="2" w:tplc="AFEEDA5A">
      <w:numFmt w:val="decimal"/>
      <w:lvlText w:val=""/>
      <w:lvlJc w:val="left"/>
    </w:lvl>
    <w:lvl w:ilvl="3" w:tplc="721C1670">
      <w:numFmt w:val="decimal"/>
      <w:lvlText w:val=""/>
      <w:lvlJc w:val="left"/>
    </w:lvl>
    <w:lvl w:ilvl="4" w:tplc="385A54BC">
      <w:numFmt w:val="decimal"/>
      <w:lvlText w:val=""/>
      <w:lvlJc w:val="left"/>
    </w:lvl>
    <w:lvl w:ilvl="5" w:tplc="1360A8BC">
      <w:numFmt w:val="decimal"/>
      <w:lvlText w:val=""/>
      <w:lvlJc w:val="left"/>
    </w:lvl>
    <w:lvl w:ilvl="6" w:tplc="DEB0872A">
      <w:numFmt w:val="decimal"/>
      <w:lvlText w:val=""/>
      <w:lvlJc w:val="left"/>
    </w:lvl>
    <w:lvl w:ilvl="7" w:tplc="BAF62392">
      <w:numFmt w:val="decimal"/>
      <w:lvlText w:val=""/>
      <w:lvlJc w:val="left"/>
    </w:lvl>
    <w:lvl w:ilvl="8" w:tplc="1818D6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267"/>
    <w:rsid w:val="001975BA"/>
    <w:rsid w:val="006A7267"/>
    <w:rsid w:val="00B7046D"/>
    <w:rsid w:val="00BE6443"/>
    <w:rsid w:val="00CE44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A2C3AC-23BD-479F-920F-8A46E376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sz w:val="32"/>
      <w:szCs w:val="32"/>
    </w:rPr>
  </w:style>
  <w:style w:type="paragraph" w:styleId="Ttulo2">
    <w:name w:val="heading 2"/>
    <w:qFormat/>
    <w:pPr>
      <w:spacing w:before="360" w:after="160"/>
      <w:outlineLvl w:val="1"/>
    </w:pPr>
    <w:rPr>
      <w:b/>
      <w:bCs/>
      <w:sz w:val="28"/>
      <w:szCs w:val="28"/>
    </w:rPr>
  </w:style>
  <w:style w:type="paragraph" w:styleId="Ttulo3">
    <w:name w:val="heading 3"/>
    <w:qFormat/>
    <w:pPr>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2538</Words>
  <Characters>13961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Cuenta Microsoft</cp:lastModifiedBy>
  <cp:revision>2</cp:revision>
  <dcterms:created xsi:type="dcterms:W3CDTF">2026-04-17T18:58:00Z</dcterms:created>
  <dcterms:modified xsi:type="dcterms:W3CDTF">2026-04-17T18:58:00Z</dcterms:modified>
</cp:coreProperties>
</file>