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977" w:rsidRDefault="00182DAC">
      <w:pPr>
        <w:spacing w:after="120"/>
        <w:jc w:val="center"/>
      </w:pPr>
      <w:r>
        <w:rPr>
          <w:b/>
          <w:bCs/>
          <w:sz w:val="40"/>
          <w:szCs w:val="40"/>
        </w:rPr>
        <w:t>Salud mental: una pregunta sobre nuestra época</w:t>
      </w:r>
    </w:p>
    <w:p w:rsidR="006A2977" w:rsidRDefault="00182DAC">
      <w:pPr>
        <w:spacing w:after="120"/>
        <w:jc w:val="center"/>
      </w:pPr>
      <w:r>
        <w:rPr>
          <w:i/>
          <w:iCs/>
        </w:rPr>
        <w:t>Segunda parte: del relativismo al equipo interdisciplinario</w:t>
      </w:r>
    </w:p>
    <w:p w:rsidR="006A2977" w:rsidRDefault="00182DAC">
      <w:pPr>
        <w:spacing w:after="480"/>
        <w:jc w:val="center"/>
      </w:pPr>
      <w:r>
        <w:rPr>
          <w:color w:val="595959"/>
          <w:sz w:val="20"/>
          <w:szCs w:val="20"/>
        </w:rPr>
        <w:t>Salud Mental Costa Rica  ·  Borrador de trabajo  ·  Abril 2026</w:t>
      </w:r>
    </w:p>
    <w:p w:rsidR="006A2977" w:rsidRDefault="00182DAC">
      <w:pPr>
        <w:pStyle w:val="Ttulo1"/>
      </w:pPr>
      <w:r>
        <w:t>Continuidad con la primera parte</w:t>
      </w:r>
    </w:p>
    <w:p w:rsidR="006A2977" w:rsidRDefault="00182DAC">
      <w:pPr>
        <w:spacing w:after="200" w:line="320" w:lineRule="auto"/>
        <w:jc w:val="both"/>
      </w:pPr>
      <w:r>
        <w:t xml:space="preserve">La primera parte de este artículo recorrió la pregunta cotidiana —qué significa estar bien— y ofreció una distinción útil entre malestar, trastorno y enfermedad, iluminada por la filosofía de </w:t>
      </w:r>
      <w:proofErr w:type="spellStart"/>
      <w:r>
        <w:t>Canguilhem</w:t>
      </w:r>
      <w:proofErr w:type="spellEnd"/>
      <w:r>
        <w:t xml:space="preserve">, la crítica clínica de </w:t>
      </w:r>
      <w:proofErr w:type="spellStart"/>
      <w:r>
        <w:t>Horwitz</w:t>
      </w:r>
      <w:proofErr w:type="spellEnd"/>
      <w:r>
        <w:t xml:space="preserve"> y Wakefield, y la adve</w:t>
      </w:r>
      <w:r>
        <w:t xml:space="preserve">rtencia de Allen </w:t>
      </w:r>
      <w:proofErr w:type="spellStart"/>
      <w:r>
        <w:t>Frances</w:t>
      </w:r>
      <w:proofErr w:type="spellEnd"/>
      <w:r>
        <w:t xml:space="preserve"> contra la inflación diagnóstica. Terminó con una pregunta abierta: si lo biológico, lo biográfico y lo cultural se entretejen, ¿significa eso que cada cultura tiene su propia locura, o hay algo universal debajo de las formas que ad</w:t>
      </w:r>
      <w:r>
        <w:t>opta? Esta segunda parte entra por esa puerta y recorre cuatro segmentos más, manteniendo la misma arquitectura piramidal.</w:t>
      </w:r>
    </w:p>
    <w:p w:rsidR="006A2977" w:rsidRDefault="00182DAC">
      <w:pPr>
        <w:pStyle w:val="Ttulo2"/>
      </w:pPr>
      <w:r>
        <w:t>Arquitectura (recordatorio)</w:t>
      </w:r>
    </w:p>
    <w:p w:rsidR="006A2977" w:rsidRDefault="00182DAC">
      <w:pPr>
        <w:pStyle w:val="Prrafodelista"/>
        <w:numPr>
          <w:ilvl w:val="0"/>
          <w:numId w:val="2"/>
        </w:numPr>
        <w:spacing w:after="80" w:line="300" w:lineRule="auto"/>
      </w:pPr>
      <w:r>
        <w:t>Nivel 1 — Base. Escena o pregunta llana, sin jerga. Aproximadamente 20%.</w:t>
      </w:r>
    </w:p>
    <w:p w:rsidR="006A2977" w:rsidRDefault="00182DAC">
      <w:pPr>
        <w:pStyle w:val="Prrafodelista"/>
        <w:numPr>
          <w:ilvl w:val="0"/>
          <w:numId w:val="2"/>
        </w:numPr>
        <w:spacing w:after="80" w:line="300" w:lineRule="auto"/>
      </w:pPr>
      <w:r>
        <w:t>Nivel 2 — Encuadre. Concepto cen</w:t>
      </w:r>
      <w:r>
        <w:t>tral con cuidado, todavía accesible. Aproximadamente 30%.</w:t>
      </w:r>
    </w:p>
    <w:p w:rsidR="006A2977" w:rsidRDefault="00182DAC">
      <w:pPr>
        <w:pStyle w:val="Prrafodelista"/>
        <w:numPr>
          <w:ilvl w:val="0"/>
          <w:numId w:val="2"/>
        </w:numPr>
        <w:spacing w:after="80" w:line="300" w:lineRule="auto"/>
      </w:pPr>
      <w:r>
        <w:t>Nivel 3 — Tensión especializada. Referencias de prestigio, polémicas, matices. Aproximadamente 35%.</w:t>
      </w:r>
    </w:p>
    <w:p w:rsidR="006A2977" w:rsidRDefault="00182DAC">
      <w:pPr>
        <w:pStyle w:val="Prrafodelista"/>
        <w:numPr>
          <w:ilvl w:val="0"/>
          <w:numId w:val="2"/>
        </w:numPr>
        <w:spacing w:after="80" w:line="300" w:lineRule="auto"/>
      </w:pPr>
      <w:r>
        <w:t>Nivel 4 — Síntesis y retorno. Reconexión con la escena inicial. Aproximadamente 15%.</w:t>
      </w:r>
    </w:p>
    <w:p w:rsidR="006A2977" w:rsidRDefault="00182DAC">
      <w:pPr>
        <w:pStyle w:val="Ttulo2"/>
      </w:pPr>
      <w:r>
        <w:t xml:space="preserve">Segmentos de </w:t>
      </w:r>
      <w:r>
        <w:t>esta parte</w:t>
      </w:r>
    </w:p>
    <w:p w:rsidR="006A2977" w:rsidRDefault="00182DAC">
      <w:pPr>
        <w:pStyle w:val="Prrafodelista"/>
        <w:numPr>
          <w:ilvl w:val="0"/>
          <w:numId w:val="2"/>
        </w:numPr>
        <w:spacing w:after="80" w:line="300" w:lineRule="auto"/>
      </w:pPr>
      <w:r>
        <w:t>Segmento 2. El problema del relativismo: ¿la locura es la misma en todas partes?</w:t>
      </w:r>
    </w:p>
    <w:p w:rsidR="006A2977" w:rsidRDefault="00182DAC">
      <w:pPr>
        <w:pStyle w:val="Prrafodelista"/>
        <w:numPr>
          <w:ilvl w:val="0"/>
          <w:numId w:val="2"/>
        </w:numPr>
        <w:spacing w:after="80" w:line="300" w:lineRule="auto"/>
      </w:pPr>
      <w:r>
        <w:t>Segmento 3. Breve historia del malestar y sus tratamientos.</w:t>
      </w:r>
    </w:p>
    <w:p w:rsidR="006A2977" w:rsidRDefault="00182DAC">
      <w:pPr>
        <w:pStyle w:val="Prrafodelista"/>
        <w:numPr>
          <w:ilvl w:val="0"/>
          <w:numId w:val="2"/>
        </w:numPr>
        <w:spacing w:after="80" w:line="300" w:lineRule="auto"/>
      </w:pPr>
      <w:r>
        <w:t>Segmento 4. Estructuras mentales y época: el nudo clínico y filosófico.</w:t>
      </w:r>
    </w:p>
    <w:p w:rsidR="006A2977" w:rsidRDefault="00182DAC">
      <w:pPr>
        <w:pStyle w:val="Prrafodelista"/>
        <w:numPr>
          <w:ilvl w:val="0"/>
          <w:numId w:val="2"/>
        </w:numPr>
        <w:spacing w:after="80" w:line="300" w:lineRule="auto"/>
      </w:pPr>
      <w:r>
        <w:t>Segmento 5. La respuesta interdi</w:t>
      </w:r>
      <w:r>
        <w:t>sciplinaria.</w:t>
      </w:r>
    </w:p>
    <w:p w:rsidR="006A2977" w:rsidRDefault="00182DAC">
      <w:r>
        <w:br w:type="page"/>
      </w:r>
    </w:p>
    <w:p w:rsidR="006A2977" w:rsidRDefault="00182DAC">
      <w:pPr>
        <w:pStyle w:val="Ttulo1"/>
      </w:pPr>
      <w:r>
        <w:lastRenderedPageBreak/>
        <w:t>Segmento 2 — El problema del relativismo</w:t>
      </w:r>
    </w:p>
    <w:p w:rsidR="006A2977" w:rsidRDefault="00182DAC">
      <w:pPr>
        <w:spacing w:after="200" w:line="320" w:lineRule="auto"/>
        <w:jc w:val="both"/>
      </w:pPr>
      <w:r>
        <w:t>Quien creció en Costa Rica, o en cualquier país latinoamericano, conoce la expresión “tener nervios”. Lo dice la vecina que se sienta en el corredor con la mirada perdida, lo dice la tí</w:t>
      </w:r>
      <w:r>
        <w:t>a que pasó una mala semana, lo dice nuestra propia abuela cuando nos pregunta si estamos durmiendo bien. No es un diagnóstico. Es una forma de nombrar una aflicción que se reconoce socialmente: se sabe cómo se ve, qué la provoca —un disgusto, una preocupac</w:t>
      </w:r>
      <w:r>
        <w:t>ión, una pérdida— y qué suele aliviarla —un té, una conversación larga, una visita que llegue a tiempo, salir a correr.</w:t>
      </w:r>
    </w:p>
    <w:p w:rsidR="006A2977" w:rsidRDefault="00182DAC">
      <w:pPr>
        <w:spacing w:after="200" w:line="320" w:lineRule="auto"/>
        <w:jc w:val="both"/>
      </w:pPr>
      <w:r>
        <w:t>Trasladada esa misma persona a una consulta psiquiátrica en otra cultura —o en otra época—, su “ataque de nervios” podría recibir nombre</w:t>
      </w:r>
      <w:r>
        <w:t>s muy distintos: crisis de ansiedad, trastorno de pánico, somatización, histeria, posesión. Cada uno de esos nombres no describe solo el síntoma: abre el campo semántico del mundo que lo nombra y lo encausa en una dirección u otra. El ataque de nervios tie</w:t>
      </w:r>
      <w:r>
        <w:t xml:space="preserve">ne sentido en una comunidad donde las relaciones familiares, las obligaciones morales y el cuerpo forman una sola tela. La crisis de ansiedad tiene sentido en una clínica donde el cuerpo y la mente se leen con un manual y un cronómetro. Ninguna de las dos </w:t>
      </w:r>
      <w:r>
        <w:t>descripciones es falsa. Pero tampoco son la misma.</w:t>
      </w:r>
    </w:p>
    <w:p w:rsidR="006A2977" w:rsidRDefault="00182DAC">
      <w:pPr>
        <w:spacing w:after="200" w:line="320" w:lineRule="auto"/>
        <w:jc w:val="both"/>
      </w:pPr>
      <w:r>
        <w:t>Esto plantea preguntas: ¿son los trastornos mentales los mismos en todas partes, con formas superficiales distintas, o la propia cultura produce las maneras en que sufrimos? La pregunta no es académica. Si</w:t>
      </w:r>
      <w:r>
        <w:t xml:space="preserve"> cada cultura construye sus malestares, entonces exportar los diagnósticos del manual estadounidense al resto del mundo puede ser una imposición disfrazada de ciencia. Si los trastornos son universales, entonces los vocabularios locales —los nervios, el su</w:t>
      </w:r>
      <w:r>
        <w:t>sto, el mal de ojo— son versiones populares de lo mismo. La respuesta no es ni una ni otra, como veremos. Pero conviene recorrerla con calma.</w:t>
      </w:r>
    </w:p>
    <w:p w:rsidR="006A2977" w:rsidRDefault="00182DAC">
      <w:pPr>
        <w:spacing w:after="200" w:line="320" w:lineRule="auto"/>
        <w:jc w:val="both"/>
      </w:pPr>
      <w:r>
        <w:t>Para pensar estas diferencias con rigor conviene trabajar con un vocabulario que la antropologí</w:t>
      </w:r>
      <w:r>
        <w:t xml:space="preserve">a médica ha afinado en las últimas décadas. El concepto más útil es el de “idioma cultural de malestar” (cultural </w:t>
      </w:r>
      <w:proofErr w:type="spellStart"/>
      <w:r>
        <w:t>idiom</w:t>
      </w:r>
      <w:proofErr w:type="spellEnd"/>
      <w:r>
        <w:t xml:space="preserve"> of </w:t>
      </w:r>
      <w:proofErr w:type="spellStart"/>
      <w:r>
        <w:t>distress</w:t>
      </w:r>
      <w:proofErr w:type="spellEnd"/>
      <w:r>
        <w:t>): el repertorio de palabras, metáforas y gestos con que una comunidad nombra y expresa el sufrimiento. Los nervios que recon</w:t>
      </w:r>
      <w:r>
        <w:t xml:space="preserve">ocemos en Costa Rica son un idioma cultural de malestar; también lo son el susto en Mesoamérica, los “fríos” que describen algunos pueblos andinos, el </w:t>
      </w:r>
      <w:proofErr w:type="spellStart"/>
      <w:r>
        <w:t>hikikomori</w:t>
      </w:r>
      <w:proofErr w:type="spellEnd"/>
      <w:r>
        <w:t xml:space="preserve"> japonés que designa un retraimiento social prolongado, o la saudade portuguesa cuando aparece </w:t>
      </w:r>
      <w:r>
        <w:t>acompañada de desgana. Ninguno de estos términos es solo literario: en su cultura, cada uno es una forma socialmente reconocida de pedir ayuda y de recibirla.</w:t>
      </w:r>
    </w:p>
    <w:p w:rsidR="006A2977" w:rsidRDefault="00182DAC">
      <w:pPr>
        <w:spacing w:after="200" w:line="320" w:lineRule="auto"/>
        <w:jc w:val="both"/>
      </w:pPr>
      <w:r>
        <w:lastRenderedPageBreak/>
        <w:t xml:space="preserve">Durante varias décadas, el DSM —el manual diagnóstico estadounidense— trató estos fenómenos bajo </w:t>
      </w:r>
      <w:r>
        <w:t>la etiqueta “síndromes ligados a la cultura” (culture-</w:t>
      </w:r>
      <w:proofErr w:type="spellStart"/>
      <w:r>
        <w:t>bound</w:t>
      </w:r>
      <w:proofErr w:type="spellEnd"/>
      <w:r>
        <w:t xml:space="preserve"> </w:t>
      </w:r>
      <w:proofErr w:type="spellStart"/>
      <w:r>
        <w:t>syndromes</w:t>
      </w:r>
      <w:proofErr w:type="spellEnd"/>
      <w:r>
        <w:t xml:space="preserve">): cuadros que parecían existir solo en contextos culturales específicos, como el </w:t>
      </w:r>
      <w:proofErr w:type="spellStart"/>
      <w:r>
        <w:t>koro</w:t>
      </w:r>
      <w:proofErr w:type="spellEnd"/>
      <w:r>
        <w:t xml:space="preserve"> en el sudeste asiático (temor súbito a que los genitales se retraigan), el amok en Malasia (episodio</w:t>
      </w:r>
      <w:r>
        <w:t xml:space="preserve">s </w:t>
      </w:r>
      <w:proofErr w:type="spellStart"/>
      <w:r>
        <w:t>disociativos</w:t>
      </w:r>
      <w:proofErr w:type="spellEnd"/>
      <w:r>
        <w:t xml:space="preserve"> con conducta violenta), el </w:t>
      </w:r>
      <w:proofErr w:type="spellStart"/>
      <w:r>
        <w:t>taijin</w:t>
      </w:r>
      <w:proofErr w:type="spellEnd"/>
      <w:r>
        <w:t xml:space="preserve"> </w:t>
      </w:r>
      <w:proofErr w:type="spellStart"/>
      <w:r>
        <w:t>kyofusho</w:t>
      </w:r>
      <w:proofErr w:type="spellEnd"/>
      <w:r>
        <w:t xml:space="preserve"> en Japón (ansiedad social por temor a incomodar al otro) o el mismo ataque de nervios en el Caribe y América Latina. La categoría tuvo éxito académico, pero cargaba con un problema serio: sugería qu</w:t>
      </w:r>
      <w:r>
        <w:t>e solo los “otros” tenían cultura, mientras que Occidente producía trastornos universales. Críticos del campo señalaron, con razón, que la anorexia nerviosa, la depresión mayor o el trastorno límite de personalidad son tan productos culturales como cualqui</w:t>
      </w:r>
      <w:r>
        <w:t>er otro cuadro.</w:t>
      </w:r>
    </w:p>
    <w:p w:rsidR="006A2977" w:rsidRDefault="00182DAC">
      <w:pPr>
        <w:spacing w:after="200" w:line="320" w:lineRule="auto"/>
        <w:jc w:val="both"/>
      </w:pPr>
      <w:r>
        <w:t>En 2013, al publicar la quinta edición del manual, la Asociación Americana de Psiquiatría hizo un cambio que pasó relativamente desapercibido pero que es notable. El DSM-5 abandonó la etiqueta “síndromes ligados a la cultura” y la sustituyó por un marco má</w:t>
      </w:r>
      <w:r>
        <w:t xml:space="preserve">s matizado llamado “conceptos culturales de </w:t>
      </w:r>
      <w:proofErr w:type="spellStart"/>
      <w:r>
        <w:t>distrés</w:t>
      </w:r>
      <w:proofErr w:type="spellEnd"/>
      <w:r>
        <w:t xml:space="preserve">” (cultural </w:t>
      </w:r>
      <w:proofErr w:type="spellStart"/>
      <w:r>
        <w:t>concepts</w:t>
      </w:r>
      <w:proofErr w:type="spellEnd"/>
      <w:r>
        <w:t xml:space="preserve"> of </w:t>
      </w:r>
      <w:proofErr w:type="spellStart"/>
      <w:r>
        <w:t>distress</w:t>
      </w:r>
      <w:proofErr w:type="spellEnd"/>
      <w:r>
        <w:t>), que distingue tres figuras: el síndrome cultural (un cuadro sintomático reconocido en un grupo social), el idioma cultural de malestar (una manera de hablar del sufrimien</w:t>
      </w:r>
      <w:r>
        <w:t>to, como los nervios) y la explicación cultural o causa percibida (las causas que una comunidad atribuye al malestar: un susto, un mal de ojo, un duelo no resuelto, un desequilibrio neuroquímico). El propio ataque de nervios figura en el DSM-5 como ejemplo</w:t>
      </w:r>
      <w:r>
        <w:t xml:space="preserve"> prominente de concepto cultural. El cambio reconoce dos cosas: primero, que toda cultura —incluida la mediada por el saber biomédico</w:t>
      </w:r>
      <w:r>
        <w:t>— produce sus propias maneras de nombrar el sufrimiento; segundo, que entender esas maneras es parte del trabajo clínico, no un ornamento antrop</w:t>
      </w:r>
      <w:r>
        <w:t xml:space="preserve">ológico, o un </w:t>
      </w:r>
      <w:proofErr w:type="spellStart"/>
      <w:r>
        <w:t>atractor</w:t>
      </w:r>
      <w:proofErr w:type="spellEnd"/>
      <w:r>
        <w:t xml:space="preserve"> de seguidores</w:t>
      </w:r>
      <w:r>
        <w:t>.</w:t>
      </w:r>
    </w:p>
    <w:p w:rsidR="006A2977" w:rsidRDefault="00182DAC">
      <w:pPr>
        <w:spacing w:after="200" w:line="320" w:lineRule="auto"/>
        <w:jc w:val="both"/>
      </w:pPr>
      <w:r>
        <w:t>Conviene introducir aquí una distinción filosófica crucial que los debates públicos tienden a confundir: relativismo descriptivo frente a relativismo normativo. El descriptivo sostiene que, de hecho, distintas culturas organizan de modos distintos</w:t>
      </w:r>
      <w:r>
        <w:t xml:space="preserve"> el sufrimiento y sus respuestas —algo que la evidencia antropológica confirma sobradamente. El normativo sostiene que, por tanto, ningún modo puede evaluarse desde fuera: todos son igualmente válidos y no hay criterios transculturales para preferir uno so</w:t>
      </w:r>
      <w:r>
        <w:t xml:space="preserve">bre otro. La trampa es saltar del primero al segundo sin examen. Reconocer que los vocabularios varían no nos obliga a abandonar la pregunta sobre qué vocabulario ayuda mejor a identificar y </w:t>
      </w:r>
      <w:r>
        <w:t>aliviar el sufrimiento de una persona concreta en un momento concreto. La bisag</w:t>
      </w:r>
      <w:r>
        <w:t xml:space="preserve">ra clínica es esta: lo que la cultura produce no es el sufrimiento </w:t>
      </w:r>
      <w:r>
        <w:rPr>
          <w:i/>
        </w:rPr>
        <w:t>desnudo</w:t>
      </w:r>
      <w:r>
        <w:t xml:space="preserve"> —ese parece ser, hasta cierto punto, </w:t>
      </w:r>
      <w:r>
        <w:lastRenderedPageBreak/>
        <w:t>universal— sino las formas en que toma palabra, los caminos por los que busca alivio, y los umbrales a partir de los cuales se vuelve tratable.</w:t>
      </w:r>
    </w:p>
    <w:p w:rsidR="006A2977" w:rsidRDefault="00182DAC">
      <w:pPr>
        <w:spacing w:after="200" w:line="320" w:lineRule="auto"/>
        <w:jc w:val="both"/>
      </w:pPr>
      <w:r>
        <w:t>Ya Freud, en El malestar en la cultura (1930), había identificado con precisión las tres fuentes desde las cuales nos amenaza el sufrimiento humano: “desde el cuerpo propio, que, destinado a la ruina y la disolución, no puede prescindir del dolor y la ang</w:t>
      </w:r>
      <w:r>
        <w:t xml:space="preserve">ustia como señales de alarma; desde el mundo exterior, que puede abatir sus furias sobre nosotros con fuerzas </w:t>
      </w:r>
      <w:proofErr w:type="spellStart"/>
      <w:r>
        <w:t>hiperpotentes</w:t>
      </w:r>
      <w:proofErr w:type="spellEnd"/>
      <w:r>
        <w:t>, despiadadas, destructoras; por fin, desde los vínculos con otros seres humanos. El padecer que proviene de esta última fuente nos r</w:t>
      </w:r>
      <w:r>
        <w:t>esulta quizá más doloroso que cualquier otro”. Las tres fuentes —el cuerpo, los elementos, los vínculos— atraviesan toda cultura y toda época. Lo que cambia son los nombres, los ritmos y las respuestas que cada comunidad construye ante ellas.</w:t>
      </w:r>
    </w:p>
    <w:p w:rsidR="006A2977" w:rsidRDefault="00182DAC">
      <w:pPr>
        <w:spacing w:after="200" w:line="320" w:lineRule="auto"/>
        <w:jc w:val="both"/>
      </w:pPr>
      <w:r>
        <w:t xml:space="preserve">El psiquiatra y antropólogo Arthur </w:t>
      </w:r>
      <w:proofErr w:type="spellStart"/>
      <w:r>
        <w:t>Kleinman</w:t>
      </w:r>
      <w:proofErr w:type="spellEnd"/>
      <w:r>
        <w:t xml:space="preserve">, de la Universidad de Harvard, es probablemente la figura más influyente del siglo pasado en este debate. En </w:t>
      </w:r>
      <w:proofErr w:type="spellStart"/>
      <w:r>
        <w:t>Rethinking</w:t>
      </w:r>
      <w:proofErr w:type="spellEnd"/>
      <w:r>
        <w:t xml:space="preserve"> </w:t>
      </w:r>
      <w:proofErr w:type="spellStart"/>
      <w:r>
        <w:t>Psychiatry</w:t>
      </w:r>
      <w:proofErr w:type="spellEnd"/>
      <w:r>
        <w:t xml:space="preserve">: </w:t>
      </w:r>
      <w:proofErr w:type="spellStart"/>
      <w:r>
        <w:t>From</w:t>
      </w:r>
      <w:proofErr w:type="spellEnd"/>
      <w:r>
        <w:t xml:space="preserve"> Cultural </w:t>
      </w:r>
      <w:proofErr w:type="spellStart"/>
      <w:r>
        <w:t>Category</w:t>
      </w:r>
      <w:proofErr w:type="spellEnd"/>
      <w:r>
        <w:t xml:space="preserve"> </w:t>
      </w:r>
      <w:proofErr w:type="spellStart"/>
      <w:r>
        <w:t>to</w:t>
      </w:r>
      <w:proofErr w:type="spellEnd"/>
      <w:r>
        <w:t xml:space="preserve"> Personal </w:t>
      </w:r>
      <w:proofErr w:type="spellStart"/>
      <w:r>
        <w:t>Experience</w:t>
      </w:r>
      <w:proofErr w:type="spellEnd"/>
      <w:r>
        <w:t xml:space="preserve"> (</w:t>
      </w:r>
      <w:proofErr w:type="spellStart"/>
      <w:r>
        <w:t>The</w:t>
      </w:r>
      <w:proofErr w:type="spellEnd"/>
      <w:r>
        <w:t xml:space="preserve"> Free </w:t>
      </w:r>
      <w:proofErr w:type="spellStart"/>
      <w:r>
        <w:t>Press</w:t>
      </w:r>
      <w:proofErr w:type="spellEnd"/>
      <w:r>
        <w:t xml:space="preserve">, 1988), </w:t>
      </w:r>
      <w:proofErr w:type="spellStart"/>
      <w:r>
        <w:t>Kleinman</w:t>
      </w:r>
      <w:proofErr w:type="spellEnd"/>
      <w:r>
        <w:t xml:space="preserve"> acuñó el concepto de </w:t>
      </w:r>
      <w:proofErr w:type="spellStart"/>
      <w:r>
        <w:t>category</w:t>
      </w:r>
      <w:proofErr w:type="spellEnd"/>
      <w:r>
        <w:t xml:space="preserve"> </w:t>
      </w:r>
      <w:proofErr w:type="spellStart"/>
      <w:r>
        <w:t>fallacy</w:t>
      </w:r>
      <w:proofErr w:type="spellEnd"/>
      <w:r>
        <w:t xml:space="preserve"> —error de categoría— para nombrar un problema epistemológico serio: cuando una categoría diagnóstica desarrollada en una cultura (típicamente la norteamericana de posguerra) se aplica a sujetos de otr</w:t>
      </w:r>
      <w:r>
        <w:t xml:space="preserve">a cultura sin preguntar si corresponde, los “casos” que aparecen pueden ser artefactos del instrumento de medida, no realidades del mundo. Si buscamos “depresión mayor” con los criterios del DSM en poblaciones rurales de India o Etiopía, encontraremos una </w:t>
      </w:r>
      <w:r>
        <w:t>incidencia determinada. Lo que no sabremos es si esa incidencia refleja el sufrimiento real de esas personas o los supuestos de la escala con que lo medimos. El cuestionamiento no es retórico: ha transformado el diseño de los estudios epidemiológicos trans</w:t>
      </w:r>
      <w:r>
        <w:t>culturales en salud mental en las últimas tres décadas.</w:t>
      </w:r>
    </w:p>
    <w:p w:rsidR="006A2977" w:rsidRDefault="00182DAC">
      <w:pPr>
        <w:spacing w:after="200" w:line="320" w:lineRule="auto"/>
        <w:jc w:val="both"/>
      </w:pPr>
      <w:r>
        <w:t xml:space="preserve">Byron </w:t>
      </w:r>
      <w:proofErr w:type="spellStart"/>
      <w:r>
        <w:t>Good</w:t>
      </w:r>
      <w:proofErr w:type="spellEnd"/>
      <w:r>
        <w:t xml:space="preserve">, antropólogo médico también de Harvard, profundizó esta línea en Medicine, </w:t>
      </w:r>
      <w:proofErr w:type="spellStart"/>
      <w:r>
        <w:t>Rationality</w:t>
      </w:r>
      <w:proofErr w:type="spellEnd"/>
      <w:r>
        <w:t xml:space="preserve">, and </w:t>
      </w:r>
      <w:proofErr w:type="spellStart"/>
      <w:r>
        <w:t>Experience</w:t>
      </w:r>
      <w:proofErr w:type="spellEnd"/>
      <w:r>
        <w:t xml:space="preserve">: </w:t>
      </w:r>
      <w:proofErr w:type="spellStart"/>
      <w:r>
        <w:t>An</w:t>
      </w:r>
      <w:proofErr w:type="spellEnd"/>
      <w:r>
        <w:t xml:space="preserve"> </w:t>
      </w:r>
      <w:proofErr w:type="spellStart"/>
      <w:r>
        <w:t>Anthropological</w:t>
      </w:r>
      <w:proofErr w:type="spellEnd"/>
      <w:r>
        <w:t xml:space="preserve"> </w:t>
      </w:r>
      <w:proofErr w:type="spellStart"/>
      <w:r>
        <w:t>Perspective</w:t>
      </w:r>
      <w:proofErr w:type="spellEnd"/>
      <w:r>
        <w:t xml:space="preserve"> (Cambridge </w:t>
      </w:r>
      <w:proofErr w:type="spellStart"/>
      <w:r>
        <w:t>University</w:t>
      </w:r>
      <w:proofErr w:type="spellEnd"/>
      <w:r>
        <w:t xml:space="preserve"> </w:t>
      </w:r>
      <w:proofErr w:type="spellStart"/>
      <w:r>
        <w:t>Press</w:t>
      </w:r>
      <w:proofErr w:type="spellEnd"/>
      <w:r>
        <w:t>, 1994). Su aporte es metod</w:t>
      </w:r>
      <w:r>
        <w:t xml:space="preserve">ológico. La comprensión clínica genuina, argumenta </w:t>
      </w:r>
      <w:proofErr w:type="spellStart"/>
      <w:r>
        <w:t>Good</w:t>
      </w:r>
      <w:proofErr w:type="spellEnd"/>
      <w:r>
        <w:t xml:space="preserve">, exige lo que </w:t>
      </w:r>
      <w:proofErr w:type="spellStart"/>
      <w:r>
        <w:t>Clifford</w:t>
      </w:r>
      <w:proofErr w:type="spellEnd"/>
      <w:r>
        <w:t xml:space="preserve"> </w:t>
      </w:r>
      <w:proofErr w:type="spellStart"/>
      <w:r>
        <w:t>Geertz</w:t>
      </w:r>
      <w:proofErr w:type="spellEnd"/>
      <w:r>
        <w:t xml:space="preserve"> llamó en La interpretación de las culturas (1973) descripción densa (</w:t>
      </w:r>
      <w:proofErr w:type="spellStart"/>
      <w:r>
        <w:t>thick</w:t>
      </w:r>
      <w:proofErr w:type="spellEnd"/>
      <w:r>
        <w:t xml:space="preserve"> </w:t>
      </w:r>
      <w:proofErr w:type="spellStart"/>
      <w:r>
        <w:t>description</w:t>
      </w:r>
      <w:proofErr w:type="spellEnd"/>
      <w:r>
        <w:t>): no basta con registrar el síntoma —“el paciente dice que tiene nervios”— sino que</w:t>
      </w:r>
      <w:r>
        <w:t xml:space="preserve"> hace falta reconstruir la red de significados en que ese síntoma cobra sentido: qué evento lo desencadenó, qué espera el paciente, qué entiende su familia, qué respuestas la comunidad considera adecuadas. Sin esa reconstrucción, el clínico puede escuchar </w:t>
      </w:r>
      <w:r>
        <w:t xml:space="preserve">la misma </w:t>
      </w:r>
      <w:r>
        <w:lastRenderedPageBreak/>
        <w:t>palabra que el paciente pronuncia y entenderla en otro idioma, tener en cuenta solo como un indicador a puntuar en una rejilla</w:t>
      </w:r>
      <w:r>
        <w:t>.</w:t>
      </w:r>
    </w:p>
    <w:p w:rsidR="006A2977" w:rsidRDefault="00182DAC">
      <w:pPr>
        <w:spacing w:after="200" w:line="320" w:lineRule="auto"/>
        <w:jc w:val="both"/>
      </w:pPr>
      <w:r>
        <w:t xml:space="preserve">Estas advertencias están lejos de ser minoritarias, pero tampoco son hegemónicas. Desde 2007, una iniciativa impulsada desde las páginas de </w:t>
      </w:r>
      <w:proofErr w:type="spellStart"/>
      <w:r>
        <w:t>The</w:t>
      </w:r>
      <w:proofErr w:type="spellEnd"/>
      <w:r>
        <w:t xml:space="preserve"> </w:t>
      </w:r>
      <w:proofErr w:type="spellStart"/>
      <w:r>
        <w:t>Lancet</w:t>
      </w:r>
      <w:proofErr w:type="spellEnd"/>
      <w:r>
        <w:t xml:space="preserve"> bajo el nombre de Global Mental </w:t>
      </w:r>
      <w:proofErr w:type="spellStart"/>
      <w:r>
        <w:t>H</w:t>
      </w:r>
      <w:r>
        <w:t>ealth</w:t>
      </w:r>
      <w:proofErr w:type="spellEnd"/>
      <w:r>
        <w:t xml:space="preserve"> </w:t>
      </w:r>
      <w:proofErr w:type="spellStart"/>
      <w:r>
        <w:t>Movement</w:t>
      </w:r>
      <w:proofErr w:type="spellEnd"/>
      <w:r>
        <w:t xml:space="preserve"> ha promovido, con buen tino, la ampliación masiva del acceso a servicios de salud mental en países de ingresos bajos y medios —donde, según la propia OMS, alrededor del 75% de las personas con trastorno mental severo no recibe ningún tratami</w:t>
      </w:r>
      <w:r>
        <w:t>ento. El movimiento tiene una justificación ética evidente: el sufrimiento no espera. Pero también arrastra un riesgo, señalado por antropólogos y clínicos de la propia región: “escalar” servicios suele significar importar y forzar</w:t>
      </w:r>
      <w:r>
        <w:t xml:space="preserve"> los diagnósticos, las escalas y l</w:t>
      </w:r>
      <w:r>
        <w:t>os fármacos desarrollados en Estados Unidos y Europa, sin el tiempo ni los recursos para traducirlos a los idiomas culturales locales. El resultado es, a veces, una buena intención que borra los vocabularios que la gente ya tenía para nombrar lo que le due</w:t>
      </w:r>
      <w:r>
        <w:t xml:space="preserve">le cerrando las vías de trámite clásicas y teniendo por efecto el </w:t>
      </w:r>
      <w:proofErr w:type="spellStart"/>
      <w:r>
        <w:t>redireccionamiento</w:t>
      </w:r>
      <w:proofErr w:type="spellEnd"/>
      <w:r>
        <w:t xml:space="preserve"> a la farmacia</w:t>
      </w:r>
      <w:r>
        <w:t>.</w:t>
      </w:r>
    </w:p>
    <w:p w:rsidR="006A2977" w:rsidRDefault="00182DAC">
      <w:pPr>
        <w:spacing w:after="200" w:line="320" w:lineRule="auto"/>
        <w:jc w:val="both"/>
      </w:pPr>
      <w:r>
        <w:t xml:space="preserve">Uno de los documentos más legibles sobre este riesgo lo escribió un periodista, no un académico. En </w:t>
      </w:r>
      <w:proofErr w:type="spellStart"/>
      <w:r>
        <w:t>Crazy</w:t>
      </w:r>
      <w:proofErr w:type="spellEnd"/>
      <w:r>
        <w:t xml:space="preserve"> </w:t>
      </w:r>
      <w:proofErr w:type="spellStart"/>
      <w:r>
        <w:t>Like</w:t>
      </w:r>
      <w:proofErr w:type="spellEnd"/>
      <w:r>
        <w:t xml:space="preserve"> </w:t>
      </w:r>
      <w:proofErr w:type="spellStart"/>
      <w:r>
        <w:t>Us</w:t>
      </w:r>
      <w:proofErr w:type="spellEnd"/>
      <w:r>
        <w:t xml:space="preserve">: </w:t>
      </w:r>
      <w:proofErr w:type="spellStart"/>
      <w:r>
        <w:t>The</w:t>
      </w:r>
      <w:proofErr w:type="spellEnd"/>
      <w:r>
        <w:t xml:space="preserve"> </w:t>
      </w:r>
      <w:proofErr w:type="spellStart"/>
      <w:r>
        <w:t>Globalization</w:t>
      </w:r>
      <w:proofErr w:type="spellEnd"/>
      <w:r>
        <w:t xml:space="preserve"> of </w:t>
      </w:r>
      <w:proofErr w:type="spellStart"/>
      <w:r>
        <w:t>the</w:t>
      </w:r>
      <w:proofErr w:type="spellEnd"/>
      <w:r>
        <w:t xml:space="preserve"> American </w:t>
      </w:r>
      <w:proofErr w:type="spellStart"/>
      <w:r>
        <w:t>Psyche</w:t>
      </w:r>
      <w:proofErr w:type="spellEnd"/>
      <w:r>
        <w:t xml:space="preserve"> (Free </w:t>
      </w:r>
      <w:proofErr w:type="spellStart"/>
      <w:r>
        <w:t>Press</w:t>
      </w:r>
      <w:proofErr w:type="spellEnd"/>
      <w:r>
        <w:t xml:space="preserve">, 2010), </w:t>
      </w:r>
      <w:proofErr w:type="spellStart"/>
      <w:r>
        <w:t>Ethan</w:t>
      </w:r>
      <w:proofErr w:type="spellEnd"/>
      <w:r>
        <w:t xml:space="preserve"> </w:t>
      </w:r>
      <w:proofErr w:type="spellStart"/>
      <w:r>
        <w:t>Watters</w:t>
      </w:r>
      <w:proofErr w:type="spellEnd"/>
      <w:r>
        <w:t xml:space="preserve"> reconstruye cuatro episodios donde la expansión del modelo psi</w:t>
      </w:r>
      <w:r>
        <w:t xml:space="preserve">quiátrico estadounidense transformó la forma en que pueblos enteros viven su sufrimiento: la aparición de la anorexia nerviosa en Hong Kong tras la llegada del diagnóstico; la ola de “trastorno por estrés postraumático” aplicada al tsunami de Sri Lanka en </w:t>
      </w:r>
      <w:r>
        <w:t>2004, que desplazó formas budistas de procesar la pérdida; la campaña de marketing farmacéutico que, en Japón, convirtió la tristeza tradicionalmente reconocida en una enfermedad llamada depresión que requería tratamiento; y el manejo occidental de la esqu</w:t>
      </w:r>
      <w:r>
        <w:t>izofrenia en Zanzíbar, donde los familiares no creían que el ser humano estuviera solo con su pariente enfermo. El libro no pretende probar que la psiquiatría sea un imperialismo —</w:t>
      </w:r>
      <w:proofErr w:type="spellStart"/>
      <w:r>
        <w:t>Watters</w:t>
      </w:r>
      <w:proofErr w:type="spellEnd"/>
      <w:r>
        <w:t xml:space="preserve"> es más sobrio que eso—, pero muestra que la exportación descuidada d</w:t>
      </w:r>
      <w:r>
        <w:t>e categorías tiene costos reales.</w:t>
      </w:r>
    </w:p>
    <w:p w:rsidR="006A2977" w:rsidRDefault="00182DAC">
      <w:pPr>
        <w:spacing w:after="200" w:line="320" w:lineRule="auto"/>
        <w:jc w:val="both"/>
      </w:pPr>
      <w:r>
        <w:t xml:space="preserve">¿Qué saldo dejan estas voces? Uno más preciso de lo que parece. </w:t>
      </w:r>
      <w:proofErr w:type="spellStart"/>
      <w:r>
        <w:t>Kleinman</w:t>
      </w:r>
      <w:proofErr w:type="spellEnd"/>
      <w:r>
        <w:t xml:space="preserve">, </w:t>
      </w:r>
      <w:proofErr w:type="spellStart"/>
      <w:r>
        <w:t>Good</w:t>
      </w:r>
      <w:proofErr w:type="spellEnd"/>
      <w:r>
        <w:t xml:space="preserve"> y quienes continuaron su línea no niegan la existencia de sufrimientos comunes a la especie. Lo que señalan es que la traducción entre el idiom</w:t>
      </w:r>
      <w:r>
        <w:t>a en que la persona lo vive y el idioma en que la clínica lo nombra es un trabajo, no un automatismo. La clínica buena hace ese trabajo; la mala lo saltea. Si retomamos la intuición freudiana sobre las tres fuentes del sufrimiento —el cuerpo propio, el mun</w:t>
      </w:r>
      <w:r>
        <w:t xml:space="preserve">do exterior y los vínculos humanos—, lo que la antropología médica añade es que cada una de esas fuentes se experimenta a través del idioma que la cultura nos </w:t>
      </w:r>
      <w:r>
        <w:lastRenderedPageBreak/>
        <w:t>entrega. El dolor de un duelo en Costa Rica, en Kioto o en Lisboa no es el mismo, aunque el duelo</w:t>
      </w:r>
      <w:r>
        <w:t xml:space="preserve"> sí lo sea.</w:t>
      </w:r>
    </w:p>
    <w:p w:rsidR="006A2977" w:rsidRDefault="00182DAC">
      <w:pPr>
        <w:spacing w:after="200" w:line="320" w:lineRule="auto"/>
        <w:jc w:val="both"/>
      </w:pPr>
      <w:r>
        <w:t>Volvamos a la escena del inicio. La abuela que nos pregunta si estamos durmiendo bien no está improvisando un diagnóstico ni está atrasada respecto a la psiquiatría. Está convocando un idioma cultural de malestar —l</w:t>
      </w:r>
      <w:r>
        <w:t xml:space="preserve">os nervios, el sueño perdido, la preocupación compartida— que ha sostenido a generaciones y que sigue siendo, para muchas personas, la primera respuesta reconocible cuando algo se rompe por dentro. Lo que hemos aprendido en este segmento es que ese idioma </w:t>
      </w:r>
      <w:r>
        <w:t>no es un obstáculo a disolver sino un punto de partida: el clínico</w:t>
      </w:r>
      <w:r>
        <w:t xml:space="preserve"> responsable aprende a escucharlo, lo traduce con cuidado al vocabulario profesional, y devuelve la traducción en términos que la persona pueda recibir sin sentirse extranjera en su propio s</w:t>
      </w:r>
      <w:r>
        <w:t>ufrimiento</w:t>
      </w:r>
      <w:bookmarkStart w:id="0" w:name="_GoBack"/>
      <w:bookmarkEnd w:id="0"/>
      <w:r>
        <w:t>.</w:t>
      </w:r>
    </w:p>
    <w:p w:rsidR="006A2977" w:rsidRDefault="00182DAC">
      <w:pPr>
        <w:spacing w:after="200" w:line="320" w:lineRule="auto"/>
        <w:jc w:val="both"/>
      </w:pPr>
      <w:r>
        <w:t xml:space="preserve">Pero los idiomas culturales no son solo espaciales: también son históricos. La melancolía que describía Robert Burton en 1621 no es exactamente la depresión del DSM; los nervios de hace cien años no son los nervios </w:t>
      </w:r>
      <w:proofErr w:type="spellStart"/>
      <w:r>
        <w:t>postpandemia</w:t>
      </w:r>
      <w:proofErr w:type="spellEnd"/>
      <w:r>
        <w:t>. Cada época tien</w:t>
      </w:r>
      <w:r>
        <w:t>e sus formas preferidas de sufrir y sus maneras de tratar a quienes sufren: el humor hipocrático, el asilo ilustrado, el diván, el fármaco, el algoritmo. En el próximo segmento recorreremos esa historia —no como curiosidad erudita, sino para entender por q</w:t>
      </w:r>
      <w:r>
        <w:t>ué los tratamientos que hoy nos parecen evidentes son también hijos de una época.</w:t>
      </w:r>
    </w:p>
    <w:p w:rsidR="006A2977" w:rsidRDefault="00182DAC">
      <w:r>
        <w:br w:type="page"/>
      </w:r>
    </w:p>
    <w:p w:rsidR="006A2977" w:rsidRDefault="00182DAC">
      <w:pPr>
        <w:pStyle w:val="Ttulo1"/>
      </w:pPr>
      <w:r>
        <w:lastRenderedPageBreak/>
        <w:t>Segmento 3 — Breve historia del malestar y sus tratamientos</w:t>
      </w:r>
    </w:p>
    <w:p w:rsidR="006A2977" w:rsidRDefault="00182DAC">
      <w:pPr>
        <w:pStyle w:val="Ttulo3"/>
      </w:pPr>
      <w:r>
        <w:t>Nivel 1 — Base</w:t>
      </w:r>
    </w:p>
    <w:p w:rsidR="006A2977" w:rsidRDefault="00182DAC">
      <w:pPr>
        <w:spacing w:after="200" w:line="320" w:lineRule="auto"/>
        <w:jc w:val="both"/>
      </w:pPr>
      <w:r>
        <w:rPr>
          <w:i/>
          <w:iCs/>
          <w:color w:val="7F7F7F"/>
        </w:rPr>
        <w:t>[Pendiente]</w:t>
      </w:r>
    </w:p>
    <w:p w:rsidR="006A2977" w:rsidRDefault="00182DAC">
      <w:pPr>
        <w:pStyle w:val="Ttulo3"/>
      </w:pPr>
      <w:r>
        <w:t>Nivel 2 — Encuadre</w:t>
      </w:r>
    </w:p>
    <w:p w:rsidR="006A2977" w:rsidRDefault="00182DAC">
      <w:pPr>
        <w:spacing w:after="200" w:line="320" w:lineRule="auto"/>
        <w:jc w:val="both"/>
      </w:pPr>
      <w:r>
        <w:rPr>
          <w:i/>
          <w:iCs/>
          <w:color w:val="7F7F7F"/>
        </w:rPr>
        <w:t xml:space="preserve">[Pendiente: del humoralismo hipocrático a la melancolía medieval, </w:t>
      </w:r>
      <w:r>
        <w:rPr>
          <w:i/>
          <w:iCs/>
          <w:color w:val="7F7F7F"/>
        </w:rPr>
        <w:t>del asilo clásico al psicoanálisis y los psicofármacos.]</w:t>
      </w:r>
    </w:p>
    <w:p w:rsidR="006A2977" w:rsidRDefault="00182DAC">
      <w:pPr>
        <w:pStyle w:val="Ttulo3"/>
      </w:pPr>
      <w:r>
        <w:t>Nivel 3 — Tensión especializada</w:t>
      </w:r>
    </w:p>
    <w:p w:rsidR="006A2977" w:rsidRDefault="00182DAC">
      <w:pPr>
        <w:spacing w:after="200" w:line="320" w:lineRule="auto"/>
        <w:jc w:val="both"/>
      </w:pPr>
      <w:r>
        <w:rPr>
          <w:i/>
          <w:iCs/>
          <w:color w:val="7F7F7F"/>
        </w:rPr>
        <w:t xml:space="preserve">[Pendiente: Foucault (Historia de la locura), Pinel, </w:t>
      </w:r>
      <w:proofErr w:type="spellStart"/>
      <w:r>
        <w:rPr>
          <w:i/>
          <w:iCs/>
          <w:color w:val="7F7F7F"/>
        </w:rPr>
        <w:t>Kraepelin</w:t>
      </w:r>
      <w:proofErr w:type="spellEnd"/>
      <w:r>
        <w:rPr>
          <w:i/>
          <w:iCs/>
          <w:color w:val="7F7F7F"/>
        </w:rPr>
        <w:t xml:space="preserve">, Freud, </w:t>
      </w:r>
      <w:proofErr w:type="spellStart"/>
      <w:r>
        <w:rPr>
          <w:i/>
          <w:iCs/>
          <w:color w:val="7F7F7F"/>
        </w:rPr>
        <w:t>Laing</w:t>
      </w:r>
      <w:proofErr w:type="spellEnd"/>
      <w:r>
        <w:rPr>
          <w:i/>
          <w:iCs/>
          <w:color w:val="7F7F7F"/>
        </w:rPr>
        <w:t xml:space="preserve">, </w:t>
      </w:r>
      <w:proofErr w:type="spellStart"/>
      <w:r>
        <w:rPr>
          <w:i/>
          <w:iCs/>
          <w:color w:val="7F7F7F"/>
        </w:rPr>
        <w:t>Basaglia</w:t>
      </w:r>
      <w:proofErr w:type="spellEnd"/>
      <w:r>
        <w:rPr>
          <w:i/>
          <w:iCs/>
          <w:color w:val="7F7F7F"/>
        </w:rPr>
        <w:t>.]</w:t>
      </w:r>
    </w:p>
    <w:p w:rsidR="006A2977" w:rsidRDefault="00182DAC">
      <w:pPr>
        <w:pStyle w:val="Ttulo3"/>
      </w:pPr>
      <w:r>
        <w:t>Nivel 4 — Síntesis y retorno</w:t>
      </w:r>
    </w:p>
    <w:p w:rsidR="006A2977" w:rsidRDefault="00182DAC">
      <w:pPr>
        <w:spacing w:after="200" w:line="320" w:lineRule="auto"/>
        <w:jc w:val="both"/>
      </w:pPr>
      <w:r>
        <w:rPr>
          <w:i/>
          <w:iCs/>
          <w:color w:val="7F7F7F"/>
        </w:rPr>
        <w:t>[Pendiente]</w:t>
      </w:r>
    </w:p>
    <w:p w:rsidR="006A2977" w:rsidRDefault="00182DAC">
      <w:r>
        <w:br w:type="page"/>
      </w:r>
    </w:p>
    <w:p w:rsidR="006A2977" w:rsidRDefault="00182DAC">
      <w:pPr>
        <w:pStyle w:val="Ttulo1"/>
      </w:pPr>
      <w:r>
        <w:lastRenderedPageBreak/>
        <w:t>Segmento 4 — Estructuras mentales y época</w:t>
      </w:r>
    </w:p>
    <w:p w:rsidR="006A2977" w:rsidRDefault="00182DAC">
      <w:pPr>
        <w:pStyle w:val="Ttulo3"/>
      </w:pPr>
      <w:r>
        <w:t>Nivel 1 — Base</w:t>
      </w:r>
    </w:p>
    <w:p w:rsidR="006A2977" w:rsidRDefault="00182DAC">
      <w:pPr>
        <w:spacing w:after="200" w:line="320" w:lineRule="auto"/>
        <w:jc w:val="both"/>
      </w:pPr>
      <w:r>
        <w:rPr>
          <w:i/>
          <w:iCs/>
          <w:color w:val="7F7F7F"/>
        </w:rPr>
        <w:t>[Pendiente]</w:t>
      </w:r>
    </w:p>
    <w:p w:rsidR="006A2977" w:rsidRDefault="00182DAC">
      <w:pPr>
        <w:pStyle w:val="Ttulo3"/>
      </w:pPr>
      <w:r>
        <w:t>Nivel 2 — Encuadre</w:t>
      </w:r>
    </w:p>
    <w:p w:rsidR="006A2977" w:rsidRDefault="00182DAC">
      <w:pPr>
        <w:spacing w:after="200" w:line="320" w:lineRule="auto"/>
        <w:jc w:val="both"/>
      </w:pPr>
      <w:r>
        <w:rPr>
          <w:i/>
          <w:iCs/>
          <w:color w:val="7F7F7F"/>
        </w:rPr>
        <w:t>[Pendiente: estructura clínica vs. diagnóstico descriptivo; el sujeto y su época.]</w:t>
      </w:r>
    </w:p>
    <w:p w:rsidR="006A2977" w:rsidRDefault="00182DAC">
      <w:pPr>
        <w:pStyle w:val="Ttulo3"/>
      </w:pPr>
      <w:r>
        <w:t>Nivel 3 — Tensión especializada</w:t>
      </w:r>
    </w:p>
    <w:p w:rsidR="006A2977" w:rsidRDefault="00182DAC">
      <w:pPr>
        <w:spacing w:after="200" w:line="320" w:lineRule="auto"/>
        <w:jc w:val="both"/>
      </w:pPr>
      <w:r>
        <w:rPr>
          <w:i/>
          <w:iCs/>
          <w:color w:val="7F7F7F"/>
        </w:rPr>
        <w:t xml:space="preserve">[Pendiente: Freud (El malestar en la cultura), Lacan (estructuras), </w:t>
      </w:r>
      <w:proofErr w:type="spellStart"/>
      <w:r>
        <w:rPr>
          <w:i/>
          <w:iCs/>
          <w:color w:val="7F7F7F"/>
        </w:rPr>
        <w:t>Ehrenberg</w:t>
      </w:r>
      <w:proofErr w:type="spellEnd"/>
      <w:r>
        <w:rPr>
          <w:i/>
          <w:iCs/>
          <w:color w:val="7F7F7F"/>
        </w:rPr>
        <w:t xml:space="preserve"> (La fatiga de ser uno mismo), </w:t>
      </w:r>
      <w:proofErr w:type="spellStart"/>
      <w:r>
        <w:rPr>
          <w:i/>
          <w:iCs/>
          <w:color w:val="7F7F7F"/>
        </w:rPr>
        <w:t>Byung-Chul</w:t>
      </w:r>
      <w:proofErr w:type="spellEnd"/>
      <w:r>
        <w:rPr>
          <w:i/>
          <w:iCs/>
          <w:color w:val="7F7F7F"/>
        </w:rPr>
        <w:t xml:space="preserve"> Han (La sociedad del cansancio), Mark Fisher (Realismo capitalista); </w:t>
      </w:r>
      <w:proofErr w:type="spellStart"/>
      <w:r>
        <w:rPr>
          <w:i/>
          <w:iCs/>
          <w:color w:val="7F7F7F"/>
        </w:rPr>
        <w:t>Szasz</w:t>
      </w:r>
      <w:proofErr w:type="spellEnd"/>
      <w:r>
        <w:rPr>
          <w:i/>
          <w:iCs/>
          <w:color w:val="7F7F7F"/>
        </w:rPr>
        <w:t xml:space="preserve"> y Whitaker como contrapunto.]</w:t>
      </w:r>
    </w:p>
    <w:p w:rsidR="006A2977" w:rsidRDefault="00182DAC">
      <w:pPr>
        <w:pStyle w:val="Ttulo3"/>
      </w:pPr>
      <w:r>
        <w:t>Nivel 4 — Síntesis y retorno</w:t>
      </w:r>
    </w:p>
    <w:p w:rsidR="006A2977" w:rsidRDefault="00182DAC">
      <w:pPr>
        <w:spacing w:after="200" w:line="320" w:lineRule="auto"/>
        <w:jc w:val="both"/>
      </w:pPr>
      <w:r>
        <w:rPr>
          <w:i/>
          <w:iCs/>
          <w:color w:val="7F7F7F"/>
        </w:rPr>
        <w:t>[Pe</w:t>
      </w:r>
      <w:r>
        <w:rPr>
          <w:i/>
          <w:iCs/>
          <w:color w:val="7F7F7F"/>
        </w:rPr>
        <w:t>ndiente]</w:t>
      </w:r>
    </w:p>
    <w:p w:rsidR="006A2977" w:rsidRDefault="00182DAC">
      <w:r>
        <w:br w:type="page"/>
      </w:r>
    </w:p>
    <w:p w:rsidR="006A2977" w:rsidRDefault="00182DAC">
      <w:pPr>
        <w:pStyle w:val="Ttulo1"/>
      </w:pPr>
      <w:r>
        <w:lastRenderedPageBreak/>
        <w:t>Segmento 5 — La respuesta interdisciplinaria</w:t>
      </w:r>
    </w:p>
    <w:p w:rsidR="006A2977" w:rsidRDefault="00182DAC">
      <w:pPr>
        <w:pStyle w:val="Ttulo3"/>
      </w:pPr>
      <w:r>
        <w:t>Nivel 1 — Base</w:t>
      </w:r>
    </w:p>
    <w:p w:rsidR="006A2977" w:rsidRDefault="00182DAC">
      <w:pPr>
        <w:spacing w:after="200" w:line="320" w:lineRule="auto"/>
        <w:jc w:val="both"/>
      </w:pPr>
      <w:r>
        <w:rPr>
          <w:i/>
          <w:iCs/>
          <w:color w:val="7F7F7F"/>
        </w:rPr>
        <w:t>[Pendiente]</w:t>
      </w:r>
    </w:p>
    <w:p w:rsidR="006A2977" w:rsidRDefault="00182DAC">
      <w:pPr>
        <w:pStyle w:val="Ttulo3"/>
      </w:pPr>
      <w:r>
        <w:t>Nivel 2 — Encuadre</w:t>
      </w:r>
    </w:p>
    <w:p w:rsidR="006A2977" w:rsidRDefault="00182DAC">
      <w:pPr>
        <w:spacing w:after="200" w:line="320" w:lineRule="auto"/>
        <w:jc w:val="both"/>
      </w:pPr>
      <w:r>
        <w:rPr>
          <w:i/>
          <w:iCs/>
          <w:color w:val="7F7F7F"/>
        </w:rPr>
        <w:t>[Pendiente: por qué ninguna disciplina alcanza sola.]</w:t>
      </w:r>
    </w:p>
    <w:p w:rsidR="006A2977" w:rsidRDefault="00182DAC">
      <w:pPr>
        <w:pStyle w:val="Ttulo3"/>
      </w:pPr>
      <w:r>
        <w:t>Nivel 3 — Tensión especializada</w:t>
      </w:r>
    </w:p>
    <w:p w:rsidR="006A2977" w:rsidRDefault="00182DAC">
      <w:pPr>
        <w:spacing w:after="200" w:line="320" w:lineRule="auto"/>
        <w:jc w:val="both"/>
      </w:pPr>
      <w:r>
        <w:rPr>
          <w:i/>
          <w:iCs/>
          <w:color w:val="7F7F7F"/>
        </w:rPr>
        <w:t xml:space="preserve">[Pendiente: articulación psiquiatría + psicología + psicoanálisis + </w:t>
      </w:r>
      <w:r>
        <w:rPr>
          <w:i/>
          <w:iCs/>
          <w:color w:val="7F7F7F"/>
        </w:rPr>
        <w:t>trabajo social; modelos de referencia internacional.]</w:t>
      </w:r>
    </w:p>
    <w:p w:rsidR="006A2977" w:rsidRDefault="00182DAC">
      <w:pPr>
        <w:pStyle w:val="Ttulo3"/>
      </w:pPr>
      <w:r>
        <w:t>Nivel 4 — Síntesis y retorno</w:t>
      </w:r>
    </w:p>
    <w:p w:rsidR="006A2977" w:rsidRDefault="00182DAC">
      <w:pPr>
        <w:spacing w:after="200" w:line="320" w:lineRule="auto"/>
        <w:jc w:val="both"/>
      </w:pPr>
      <w:r>
        <w:rPr>
          <w:i/>
          <w:iCs/>
          <w:color w:val="7F7F7F"/>
        </w:rPr>
        <w:t>[Pendiente: Salud Mental Costa Rica como encarnación concreta. Cierre sobrio.]</w:t>
      </w:r>
    </w:p>
    <w:p w:rsidR="006A2977" w:rsidRDefault="00182DAC">
      <w:r>
        <w:br w:type="page"/>
      </w:r>
    </w:p>
    <w:p w:rsidR="006A2977" w:rsidRDefault="00182DAC">
      <w:pPr>
        <w:pStyle w:val="Ttulo1"/>
      </w:pPr>
      <w:r>
        <w:lastRenderedPageBreak/>
        <w:t>Referencias</w:t>
      </w:r>
    </w:p>
    <w:p w:rsidR="006A2977" w:rsidRDefault="00182DAC">
      <w:pPr>
        <w:spacing w:after="200" w:line="320" w:lineRule="auto"/>
        <w:jc w:val="both"/>
      </w:pPr>
      <w:r>
        <w:rPr>
          <w:i/>
          <w:iCs/>
          <w:color w:val="7F7F7F"/>
        </w:rPr>
        <w:t xml:space="preserve">[Pendiente: bibliografía final en formato APA o Chicago, por definir. Clásicas, </w:t>
      </w:r>
      <w:r>
        <w:rPr>
          <w:i/>
          <w:iCs/>
          <w:color w:val="7F7F7F"/>
        </w:rPr>
        <w:t>antropológicas, críticas contemporáneas e institucionales.]</w:t>
      </w:r>
    </w:p>
    <w:sectPr w:rsidR="006A29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E32FF6"/>
    <w:multiLevelType w:val="hybridMultilevel"/>
    <w:tmpl w:val="46467F0A"/>
    <w:lvl w:ilvl="0" w:tplc="436C0AF6">
      <w:start w:val="1"/>
      <w:numFmt w:val="bullet"/>
      <w:lvlText w:val="●"/>
      <w:lvlJc w:val="left"/>
      <w:pPr>
        <w:ind w:left="720" w:hanging="360"/>
      </w:pPr>
    </w:lvl>
    <w:lvl w:ilvl="1" w:tplc="DDE65958">
      <w:start w:val="1"/>
      <w:numFmt w:val="bullet"/>
      <w:lvlText w:val="○"/>
      <w:lvlJc w:val="left"/>
      <w:pPr>
        <w:ind w:left="1440" w:hanging="360"/>
      </w:pPr>
    </w:lvl>
    <w:lvl w:ilvl="2" w:tplc="072C9C76">
      <w:start w:val="1"/>
      <w:numFmt w:val="bullet"/>
      <w:lvlText w:val="■"/>
      <w:lvlJc w:val="left"/>
      <w:pPr>
        <w:ind w:left="2160" w:hanging="360"/>
      </w:pPr>
    </w:lvl>
    <w:lvl w:ilvl="3" w:tplc="FE6CFB44">
      <w:start w:val="1"/>
      <w:numFmt w:val="bullet"/>
      <w:lvlText w:val="●"/>
      <w:lvlJc w:val="left"/>
      <w:pPr>
        <w:ind w:left="2880" w:hanging="360"/>
      </w:pPr>
    </w:lvl>
    <w:lvl w:ilvl="4" w:tplc="121C2E6C">
      <w:start w:val="1"/>
      <w:numFmt w:val="bullet"/>
      <w:lvlText w:val="○"/>
      <w:lvlJc w:val="left"/>
      <w:pPr>
        <w:ind w:left="3600" w:hanging="360"/>
      </w:pPr>
    </w:lvl>
    <w:lvl w:ilvl="5" w:tplc="3DC04398">
      <w:start w:val="1"/>
      <w:numFmt w:val="bullet"/>
      <w:lvlText w:val="■"/>
      <w:lvlJc w:val="left"/>
      <w:pPr>
        <w:ind w:left="4320" w:hanging="360"/>
      </w:pPr>
    </w:lvl>
    <w:lvl w:ilvl="6" w:tplc="7D824BCA">
      <w:start w:val="1"/>
      <w:numFmt w:val="bullet"/>
      <w:lvlText w:val="●"/>
      <w:lvlJc w:val="left"/>
      <w:pPr>
        <w:ind w:left="5040" w:hanging="360"/>
      </w:pPr>
    </w:lvl>
    <w:lvl w:ilvl="7" w:tplc="DB4EC9AE">
      <w:start w:val="1"/>
      <w:numFmt w:val="bullet"/>
      <w:lvlText w:val="●"/>
      <w:lvlJc w:val="left"/>
      <w:pPr>
        <w:ind w:left="5760" w:hanging="360"/>
      </w:pPr>
    </w:lvl>
    <w:lvl w:ilvl="8" w:tplc="9626A650">
      <w:start w:val="1"/>
      <w:numFmt w:val="bullet"/>
      <w:lvlText w:val="●"/>
      <w:lvlJc w:val="left"/>
      <w:pPr>
        <w:ind w:left="6480" w:hanging="360"/>
      </w:pPr>
    </w:lvl>
  </w:abstractNum>
  <w:abstractNum w:abstractNumId="1">
    <w:nsid w:val="75C84DD1"/>
    <w:multiLevelType w:val="hybridMultilevel"/>
    <w:tmpl w:val="29062ECA"/>
    <w:lvl w:ilvl="0" w:tplc="6F627F7C">
      <w:start w:val="1"/>
      <w:numFmt w:val="bullet"/>
      <w:lvlText w:val="•"/>
      <w:lvlJc w:val="left"/>
      <w:pPr>
        <w:ind w:left="720" w:hanging="360"/>
      </w:pPr>
    </w:lvl>
    <w:lvl w:ilvl="1" w:tplc="24982428">
      <w:numFmt w:val="decimal"/>
      <w:lvlText w:val=""/>
      <w:lvlJc w:val="left"/>
    </w:lvl>
    <w:lvl w:ilvl="2" w:tplc="5A1A17F8">
      <w:numFmt w:val="decimal"/>
      <w:lvlText w:val=""/>
      <w:lvlJc w:val="left"/>
    </w:lvl>
    <w:lvl w:ilvl="3" w:tplc="FD680E68">
      <w:numFmt w:val="decimal"/>
      <w:lvlText w:val=""/>
      <w:lvlJc w:val="left"/>
    </w:lvl>
    <w:lvl w:ilvl="4" w:tplc="1E62012E">
      <w:numFmt w:val="decimal"/>
      <w:lvlText w:val=""/>
      <w:lvlJc w:val="left"/>
    </w:lvl>
    <w:lvl w:ilvl="5" w:tplc="B5586D50">
      <w:numFmt w:val="decimal"/>
      <w:lvlText w:val=""/>
      <w:lvlJc w:val="left"/>
    </w:lvl>
    <w:lvl w:ilvl="6" w:tplc="333CF782">
      <w:numFmt w:val="decimal"/>
      <w:lvlText w:val=""/>
      <w:lvlJc w:val="left"/>
    </w:lvl>
    <w:lvl w:ilvl="7" w:tplc="BE44DFB6">
      <w:numFmt w:val="decimal"/>
      <w:lvlText w:val=""/>
      <w:lvlJc w:val="left"/>
    </w:lvl>
    <w:lvl w:ilvl="8" w:tplc="EBBC46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977"/>
    <w:rsid w:val="00182DAC"/>
    <w:rsid w:val="006A29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BAD731-3029-4194-83C1-7CA61D08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00"/>
      <w:outlineLvl w:val="0"/>
    </w:pPr>
    <w:rPr>
      <w:b/>
      <w:bCs/>
      <w:sz w:val="32"/>
      <w:szCs w:val="32"/>
    </w:rPr>
  </w:style>
  <w:style w:type="paragraph" w:styleId="Ttulo2">
    <w:name w:val="heading 2"/>
    <w:qFormat/>
    <w:pPr>
      <w:spacing w:before="360" w:after="160"/>
      <w:outlineLvl w:val="1"/>
    </w:pPr>
    <w:rPr>
      <w:b/>
      <w:bCs/>
      <w:sz w:val="28"/>
      <w:szCs w:val="28"/>
    </w:rPr>
  </w:style>
  <w:style w:type="paragraph" w:styleId="Ttulo3">
    <w:name w:val="heading 3"/>
    <w:qFormat/>
    <w:pPr>
      <w:spacing w:before="240" w:after="120"/>
      <w:outlineLvl w:val="2"/>
    </w:pPr>
    <w:rPr>
      <w:b/>
      <w:bCs/>
      <w:i/>
      <w:i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2374</Words>
  <Characters>13059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2</cp:revision>
  <dcterms:created xsi:type="dcterms:W3CDTF">2026-04-17T20:15:00Z</dcterms:created>
  <dcterms:modified xsi:type="dcterms:W3CDTF">2026-04-17T20:15:00Z</dcterms:modified>
</cp:coreProperties>
</file>