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0"/>
          <w:szCs w:val="40"/>
        </w:rPr>
        <w:t xml:space="preserve">Salud mental: una pregunta sobre nuestra época</w:t>
      </w:r>
    </w:p>
    <w:p>
      <w:pPr>
        <w:spacing w:after="120"/>
        <w:jc w:val="center"/>
      </w:pPr>
      <w:r>
        <w:rPr>
          <w:i/>
          <w:iCs/>
          <w:sz w:val="24"/>
          <w:szCs w:val="24"/>
        </w:rPr>
        <w:t xml:space="preserve">Tercera parte: breve historia del malestar y sus tratamientos</w:t>
      </w:r>
    </w:p>
    <w:p>
      <w:pPr>
        <w:spacing w:after="480"/>
        <w:jc w:val="center"/>
      </w:pPr>
      <w:r>
        <w:rPr>
          <w:color w:val="595959"/>
          <w:sz w:val="20"/>
          <w:szCs w:val="20"/>
        </w:rPr>
        <w:t xml:space="preserve">Salud Mental Costa Rica  ·  Borrador de trabajo  ·  Abril 2026</w:t>
      </w:r>
    </w:p>
    <w:p>
      <w:pPr>
        <w:pStyle w:val="Heading1"/>
      </w:pPr>
      <w:r>
        <w:t xml:space="preserve">Continuidad con las partes anteriores</w:t>
      </w:r>
    </w:p>
    <w:p>
      <w:pPr>
        <w:spacing w:after="200" w:line="320"/>
        <w:jc w:val="both"/>
      </w:pPr>
      <w:r>
        <w:t xml:space="preserve">La primera parte de este artículo recorrió la pregunta cotidiana —qué significa estar bien— y ofreció una distinción útil entre malestar, trastorno y enfermedad, iluminada por la filosofía de Canguilhem, la crítica clínica de Horwitz y Wakefield, y la advertencia de Allen Frances contra la inflación diagnóstica. La segunda parte abrió el problema del relativismo: mostró que los idiomas culturales de malestar —los nervios costarricenses, el susto mesoamericano, el hikikomori japonés— no son curiosidades folclóricas sino formas socialmente reconocidas de nombrar y recibir el sufrimiento, y defendió, con Kleinman, Good, Geertz y Watters, que la clínica responsable traduce entre esos idiomas sin borrarlos. Con Freud, recordamos que las tres fuentes del sufrimiento —el cuerpo propio, el mundo exterior, los vínculos humanos— atraviesan toda cultura y toda época; lo que cambia son los nombres, los ritmos y las respuestas.</w:t>
      </w:r>
    </w:p>
    <w:p>
      <w:pPr>
        <w:spacing w:after="200" w:line="320"/>
        <w:jc w:val="both"/>
      </w:pPr>
      <w:r>
        <w:t xml:space="preserve">Esta tercera parte entra en el tiempo. Si los idiomas culturales no son solo espaciales sino también históricos, conviene preguntar: ¿cómo ha pensado y tratado Occidente el malestar mental a lo largo de los siglos, y qué capas de esa historia siguen operando hoy cuando alguien entra a una consulta? El segmento mantiene la arquitectura piramidal de las partes anteriores.</w:t>
      </w:r>
    </w:p>
    <w:p>
      <w:pPr>
        <w:pStyle w:val="Heading2"/>
      </w:pPr>
      <w:r>
        <w:t xml:space="preserve">Arquitectura (recordatorio)</w:t>
      </w:r>
    </w:p>
    <w:p>
      <w:pPr>
        <w:pStyle w:val="ListParagraph"/>
        <w:numPr>
          <w:ilvl w:val="0"/>
          <w:numId w:val="2"/>
        </w:numPr>
        <w:spacing w:after="80" w:line="300"/>
      </w:pPr>
      <w:r>
        <w:t xml:space="preserve">Nivel 1 — Base. Escena o pregunta llana, sin jerga.</w:t>
      </w:r>
    </w:p>
    <w:p>
      <w:pPr>
        <w:pStyle w:val="ListParagraph"/>
        <w:numPr>
          <w:ilvl w:val="0"/>
          <w:numId w:val="2"/>
        </w:numPr>
        <w:spacing w:after="80" w:line="300"/>
      </w:pPr>
      <w:r>
        <w:t xml:space="preserve">Nivel 2 — Encuadre. Concepto central con cuidado, todavía accesible.</w:t>
      </w:r>
    </w:p>
    <w:p>
      <w:pPr>
        <w:pStyle w:val="ListParagraph"/>
        <w:numPr>
          <w:ilvl w:val="0"/>
          <w:numId w:val="2"/>
        </w:numPr>
        <w:spacing w:after="80" w:line="300"/>
      </w:pPr>
      <w:r>
        <w:t xml:space="preserve">Nivel 3 — Tensión especializada. Referencias de prestigio, polémicas, matices.</w:t>
      </w:r>
    </w:p>
    <w:p>
      <w:pPr>
        <w:pStyle w:val="ListParagraph"/>
        <w:numPr>
          <w:ilvl w:val="0"/>
          <w:numId w:val="2"/>
        </w:numPr>
        <w:spacing w:after="80" w:line="300"/>
      </w:pPr>
      <w:r>
        <w:t xml:space="preserve">Nivel 4 — Síntesis y retorno. Reconexión con la escena inicial.</w:t>
      </w:r>
    </w:p>
    <w:p>
      <w:r>
        <w:br w:type="page"/>
      </w:r>
    </w:p>
    <w:p>
      <w:pPr>
        <w:pStyle w:val="Heading1"/>
      </w:pPr>
      <w:r>
        <w:t xml:space="preserve">Segmento 3 — Breve historia del malestar y sus tratamientos</w:t>
      </w:r>
    </w:p>
    <w:p>
      <w:pPr>
        <w:pStyle w:val="Heading3"/>
      </w:pPr>
      <w:r>
        <w:t xml:space="preserve">Nivel 1 — Base</w:t>
      </w:r>
    </w:p>
    <w:p>
      <w:pPr>
        <w:spacing w:after="200" w:line="320"/>
        <w:jc w:val="both"/>
      </w:pPr>
      <w:r>
        <w:t xml:space="preserve">Una forma sencilla de darse cuenta de que la historia de la salud mental no es una línea recta es mirar dentro de la propia familia. Una bisabuela costarricense que a principios del siglo XX atravesó una crisis de nervios fue probablemente acompañada por la comadrona del barrio con un té de toronjil, un rezo y el mandato de guardar cama unos días. Su hija, la abuela, nacida pocos años después de la fundación del Asilo Chapuí (1890) —que luego sería el Hospital Nacional Psiquiátrico de Pavas—, pudo haber tomado ocasionalmente un ansiolítico de los años cincuenta —el meprobamato primero, el diazepam después— y hablar de “crisis nerviosa” sin que nadie pidiera más precisiones. Nuestra madre, llegada a la adultez en los años ochenta o noventa, quizás comenzó a ir a terapia con una psicóloga que aplicaba una mezcla de técnicas cognitivas y humanistas. Y en nuestra propia generación, la misma aflicción puede diagnosticarse como trastorno de ansiedad generalizada, recibir un inhibidor selectivo de la recaptación de serotonina, y ser monitoreada en una aplicación del teléfono.</w:t>
      </w:r>
    </w:p>
    <w:p>
      <w:pPr>
        <w:spacing w:after="200" w:line="320"/>
        <w:jc w:val="both"/>
      </w:pPr>
      <w:r>
        <w:t xml:space="preserve">Cuatro generaciones, cuatro maneras de nombrar y tratar —aproximadamente— el mismo malestar. Nadie escogió el vocabulario en que le tocó sufrir: cada una recibió el que su época ponía a disposición. Eso no significa que esos tratamientos sean equivalentes ni que todos sean igualmente buenos. Significa que los tratamientos son también hijos de una época, y que entender de dónde vienen nos permite mirarlos con menos solemnidad y más criterio. Este segmento recorre brevemente esa historia, no como arqueología sino como herramienta: para que el lector, frente a su propio tratamiento o el de un ser querido, pueda preguntar con inteligencia por qué ese tratamiento y no otro.</w:t>
      </w:r>
    </w:p>
    <w:p>
      <w:pPr>
        <w:pStyle w:val="Heading3"/>
      </w:pPr>
      <w:r>
        <w:t xml:space="preserve">Nivel 2 — Encuadre</w:t>
      </w:r>
    </w:p>
    <w:p>
      <w:pPr>
        <w:spacing w:after="200" w:line="320"/>
        <w:jc w:val="both"/>
      </w:pPr>
      <w:r>
        <w:t xml:space="preserve">La primera manera coherente de pensar el malestar mental en nuestra tradición viene de la medicina hipocrática, hace más de dos mil cuatrocientos años. Hipócrates en el siglo V a.C., y más tarde Galeno, propusieron que el cuerpo humano estaba compuesto por cuatro humores —sangre, bilis amarilla, bilis negra y flema— cuyo equilibrio determinaba la salud y cuyo desequilibrio producía enfermedades específicas. La melancolía —del griego melan (negra) y kholē (bilis)— era literalmente un exceso de bilis negra; la manía, un exceso de bilis amarilla; la histeria, un desplazamiento del útero. Los tratamientos seguían la lógica de restablecer el equilibrio: sangrías, baños, purgas, cambios en la dieta, música. Visto desde hoy, el modelo humoral parece ingenuo. Pero cumplió funciones que no son menores: ofreció un lenguaje común para nombrar el sufrimiento, sacó muchos cuadros del terreno de lo moral o lo demoníaco, y puso al cuerpo en el centro de la explicación —una apuesta materialista temprana que la medicina moderna no ha abandonado del todo.</w:t>
      </w:r>
    </w:p>
    <w:p>
      <w:pPr>
        <w:spacing w:after="200" w:line="320"/>
        <w:jc w:val="both"/>
      </w:pPr>
      <w:r>
        <w:t xml:space="preserve">En el mundo medieval cristiano, el modelo humoral convivió con explicaciones religiosas. La melancolía no dejó de existir —de hecho se pensó con finura: la acidia o tristitia que describen los monjes del desierto es un estado espiritual reconocible, pariente cercano de lo que hoy llamaríamos depresión—, pero se le sumaron lecturas en clave de posesión, pecado o castigo divino. El libro más ambicioso sobre el tema en esa tradición es La anatomía de la melancolía (1621) del inglés Robert Burton, una obra enciclopédica que combina medicina humoral, teología, filosofía y observación literaria, y que sigue siendo de lectura sorprendentemente contemporánea en sus páginas sobre la soledad, el amor no correspondido y el paso del tiempo.</w:t>
      </w:r>
    </w:p>
    <w:p>
      <w:pPr>
        <w:spacing w:after="200" w:line="320"/>
        <w:jc w:val="both"/>
      </w:pPr>
      <w:r>
        <w:t xml:space="preserve">Con la Ilustración llegó un cambio más profundo. A fines del siglo XVIII, el médico francés Philippe Pinel introdujo en el Hospital de la Bicêtre en París lo que él llamó el “tratamiento moral” de los alienados: quitar las cadenas, hablar con los pacientes, organizar su día, observar sus reacciones. El gesto, en apariencia sencillo, cambió la dirección del campo. De la contención a la cura, del encierro al tratamiento. Su discípulo Jean-Étienne Esquirol continuó la línea, y a lo largo del siglo XIX se multiplicaron los asilos —en Europa, en América Latina, en Costa Rica con el Asilo Chapuí de 1890— como espacios de cuidado racional y, también, de control social sobre lo que cada sociedad no quería ver. El alemán Emil Kraepelin, hacia 1893, construyó la primera clasificación sistemática de los trastornos mentales que separó la demencia precoz (después llamada esquizofrenia) de la enfermedad maniaco-depresiva: es el antecesor directo del DSM actual. En Francia, Jean-Martin Charcot estudiaba la histeria en la Salpêtrière y mostraba a sus alumnos —entre ellos un joven vienés llamado Sigmund Freud— que los síntomas corporales podían tener causas psíquicas.</w:t>
      </w:r>
    </w:p>
    <w:p>
      <w:pPr>
        <w:spacing w:after="200" w:line="320"/>
        <w:jc w:val="both"/>
      </w:pPr>
      <w:r>
        <w:t xml:space="preserve">El siglo XX se abrió con la revolución freudiana —el psicoanálisis como nueva forma de escuchar el sufrimiento que hacía lugar a lo inconsciente, al lenguaje y a la biografía— y se cerró con una revolución farmacológica. La clorpromazina, sintetizada en 1952, fue el primer medicamento capaz de aliviar los síntomas floridos de la psicosis. Antes, el litio (1949) había mostrado eficacia en el trastorno bipolar. En los años cincuenta aparecieron los primeros antidepresivos (imipramina, IMAOs) y en los ochenta la fluoxetina —el Prozac— inauguró la era de los inhibidores selectivos de la recaptación de serotonina. En paralelo, los años sesenta y setenta vieron nacer la llamada antipsiquiatría —Ronald Laing en Escocia, Thomas Szasz en Estados Unidos, Franco Basaglia en Italia— que cuestionó de raíz los supuestos del asilo y empujó hacia el cierre progresivo de las grandes instituciones. La reforma italiana de 1978, la Ley 180 o Ley Basaglia, clausuró los manicomios y trasladó el cuidado a dispositivos comunitarios: fue el experimento más ambicioso en esa dirección.</w:t>
      </w:r>
    </w:p>
    <w:p>
      <w:pPr>
        <w:spacing w:after="200" w:line="320"/>
        <w:jc w:val="both"/>
      </w:pPr>
      <w:r>
        <w:t xml:space="preserve">El siglo XXI heredó todo eso simultáneamente. Conviven, en el mismo consultorio y a veces en el mismo paciente, herencias hipocráticas (una comprensión del cuerpo que importa), freudianas (una escucha de la biografía), farmacológicas (un arsenal que funciona para ciertos cuadros), comunitarias (la convicción de que nadie sana solo) y conductuales (técnicas breves con evidencia sólida para cuadros específicos). Se han sumado, en las últimas décadas, el auge de las neurociencias y la imagen cerebral, la consolidación de la medicina basada en evidencia, el crecimiento de las terapias cognitivo-conductuales y de tercera generación (mindfulness, terapia de aceptación y compromiso, terapia dialéctica conductual) y, más recientemente, la llamada salud mental digital —aplicaciones, terapia en línea, algoritmos de apoyo. Cada una de estas capas es legítima en algún plano y problemática en otro. El desafío no es elegir una contra las demás, sino saber cuándo cada una aporta y cuándo impone.</w:t>
      </w:r>
    </w:p>
    <w:p>
      <w:pPr>
        <w:pStyle w:val="Heading3"/>
      </w:pPr>
      <w:r>
        <w:t xml:space="preserve">Nivel 3 — Tensión especializada</w:t>
      </w:r>
    </w:p>
    <w:p>
      <w:pPr>
        <w:spacing w:after="200" w:line="320"/>
        <w:jc w:val="both"/>
      </w:pPr>
      <w:r>
        <w:t xml:space="preserve">Este recorrido tiene una versión oficial —progresiva y optimista— y una contrahistoria incómoda. La contrahistoria la escribió el filósofo francés Michel Foucault en 1961, en su tesis doctoral Historia de la locura en la época clásica (Plon), uno de los libros más disputados del siglo XX. Foucault sostiene que la modernidad no “descubrió” a los enfermos mentales: los inventó, al separarlos del flujo de la vida social. El acontecimiento decisivo no fue la gesta humanitaria de Pinel sino la apertura, en 1656, del Hôpital Général de París, donde en pocas décadas fueron encerrados bajo un mismo régimen mendigos, blasfemos, ociosos, locos, prostitutas y libertinos. Foucault llama a ese momento el “gran encierro”: el punto en que la razón occidental constituye a su otro —la sinrazón— para definirse a sí misma. La liberación posterior por parte de Pinel, según esta lectura, no fue tanto una emancipación como una sustitución: las cadenas físicas dieron paso a una disciplina más sutil —la observación permanente, la clasificación, la tutela médica— que constituyó al “alienado” como objeto de la nueva ciencia psiquiátrica. La tesis es polémica y ha sido discutida (entre otros por los historiadores Gladys Swain y Marcel Gauchet, que matizan la cronología), pero es imposible pensar la historia de la psiquiatría hoy sin atravesarla.</w:t>
      </w:r>
    </w:p>
    <w:p>
      <w:pPr>
        <w:spacing w:after="200" w:line="320"/>
        <w:jc w:val="both"/>
      </w:pPr>
      <w:r>
        <w:t xml:space="preserve">La tesis de Foucault tuvo un correlato clínico casi simultáneo. En 1960, el psiquiatra escocés Ronald D. Laing publicó The Divided Self (Tavistock), donde proponía que muchos síntomas esquizofrénicos eran intentos inteligibles de habitar una situación familiar imposible, no defectos neuroquímicos del paciente. Al año siguiente, el psiquiatra húngaro-estadounidense Thomas Szasz publicó The Myth of Mental Illness (Harper), un libro de título provocador cuya tesis —“la enfermedad mental no es una enfermedad como las otras, es una metáfora”— hizo furor y sigue generando debate. Szasz sostenía que, salvo casos demostrables de daño cerebral orgánico, la psiquiatría institucional era una forma de control social. En Italia, el psiquiatra Franco Basaglia condujo una reforma distinta pero emparentada: desde la dirección del hospital psiquiátrico de Gorizia primero y de Trieste después, fue desmontando el régimen asilar desde dentro, integrando a los pacientes a la vida comunitaria, hasta culminar en la Ley 180 de 1978 que cerró progresivamente los manicomios italianos. Su libro L’istituzione negata (La institución negada, 1968) es un clásico. A diferencia de Szasz, Basaglia no negaba la existencia del sufrimiento psíquico: negaba que la respuesta adecuada fuera el asilo.</w:t>
      </w:r>
    </w:p>
    <w:p>
      <w:pPr>
        <w:spacing w:after="200" w:line="320"/>
        <w:jc w:val="both"/>
      </w:pPr>
      <w:r>
        <w:t xml:space="preserve">Medio siglo después, la crítica se desplazó del asilo al frasco. En Anatomy of an Epidemic: Magic Bullets, Psychiatric Drugs, and the Astonishing Rise of Mental Illness in America (Crown, 2010), el periodista Robert Whitaker documenta una paradoja inquietante: a medida que el uso de psicofármacos se ha expandido exponencialmente en las últimas décadas, las tasas de discapacidad por trastorno mental en Estados Unidos no han caído, sino que han subido. Whitaker revisa estudios de seguimiento a largo plazo y argumenta que algunos medicamentos —en particular los antipsicóticos y los antidepresivos— pueden tener efectos iatrogénicos cuando se administran durante años a poblaciones heterogéneas, alterando la neuroquímica cerebral de maneras que dificultan la recuperación. El libro es polémico y la evidencia que cita ha sido discutida por psiquiatras como Ronald Pies o Nassir Ghaemi, pero el fenómeno que señala —una desconexión creciente entre el crecimiento del tratamiento y la mejora de los resultados poblacionales— es empíricamente robusto y pide explicación.</w:t>
      </w:r>
    </w:p>
    <w:p>
      <w:pPr>
        <w:spacing w:after="200" w:line="320"/>
        <w:jc w:val="both"/>
      </w:pPr>
      <w:r>
        <w:t xml:space="preserve">No todo es crítica, y sería irresponsable presentar la historia reciente como una sucesión de desenmascaramientos. Tan importante como leer a Foucault, Szasz, Basaglia o Whitaker es leer a quienes defienden el proyecto clínico contemporáneo sin ingenuidad: al psiquiatra Peter Kramer, cuyo Listening to Prozac (Viking, 1993) argumenta con matices que la medicación puede ser parte legítima del cuidado; a Nassir Ghaemi, cuya A First-Rate Madness (Penguin, 2011) muestra la complejidad de las vidas atravesadas por trastornos del ánimo; o a la psiquiatra y psicóloga Kay Redfield Jamison, cuyas memorias An Unquiet Mind (Knopf, 1995) son al mismo tiempo un testimonio personal del trastorno bipolar y una defensa del tratamiento psiquiátrico serio. La posición que este artículo sostiene es la más incómoda: ni triunfalismo institucional ni rechazo global. La historia de los tratamientos mentales deja lecciones importantes, pero no una moraleja única.</w:t>
      </w:r>
    </w:p>
    <w:p>
      <w:pPr>
        <w:spacing w:after="200" w:line="320"/>
        <w:jc w:val="both"/>
      </w:pPr>
      <w:r>
        <w:t xml:space="preserve">Tres lecciones, entonces, se asientan al final de este recorrido crítico. Primero, que toda forma de tratar el malestar es históricamente situada: incluso las que hoy nos parecen evidentes serán leídas como curiosidades en cien años, y al menos parte de la crítica contemporánea es anticipo de esa mirada futura sobre nuestro presente. Segundo, que los tratamientos son también tecnologías de poder —asignan roles, distribuyen autoridad, producen subjetividades— y esto no es necesariamente siniestro, pero conviene saberlo al entrar en una consulta. Tercero, y más importante, que ninguno de los paradigmas —el humoral, el asilar, el psicoanalítico, el farmacológico, el comunitario, el cognitivo-conductual, el digital— es enteramente equivocado ni enteramente verdadero. Cada uno capta una dimensión del malestar que los otros no capturan bien. La pregunta no es cuál reina, sino cómo se articulan.</w:t>
      </w:r>
    </w:p>
    <w:p>
      <w:pPr>
        <w:pStyle w:val="Heading3"/>
      </w:pPr>
      <w:r>
        <w:t xml:space="preserve">Nivel 4 — Síntesis y retorno</w:t>
      </w:r>
    </w:p>
    <w:p>
      <w:pPr>
        <w:spacing w:after="200" w:line="320"/>
        <w:jc w:val="both"/>
      </w:pPr>
      <w:r>
        <w:t xml:space="preserve">Volvamos a las cuatro generaciones del inicio. La bisabuela con su té de toronjil, la abuela con su meprobamato, la madre con su terapia cognitiva, la hija con su ISRS y su aplicación: no son cuatro grados de una escalera ascendente donde cada peldaño supera al anterior. Son cuatro respuestas que nuestra cultura dio, en cada momento, a la misma pregunta: qué hacer cuando algo se rompe por dentro. Cada respuesta capta algo: la primera, el valor del cuidado cotidiano y el tiempo; la segunda, el alivio sintomático que un fármaco puede proveer; la tercera, la escucha y la reorganización subjetiva; la cuarta, la integración de técnica y tecnología. Ninguna es suficiente por sí sola. Una historia comprensiva no jerarquiza, articula.</w:t>
      </w:r>
    </w:p>
    <w:p>
      <w:pPr>
        <w:spacing w:after="200" w:line="320"/>
        <w:jc w:val="both"/>
      </w:pPr>
      <w:r>
        <w:t xml:space="preserve">Si los tratamientos cambian con la época, algo tendrá que decirse también sobre los trastornos mismos. ¿Es la depresión de hoy la melancolía de antes? ¿Son las nuevas formas de malestar que dominan nuestras estadísticas —agotamiento, autoexigencia, vacío, falta de deseo— variaciones de cuadros antiguos o síntomas de algo propiamente nuestro? El siguiente segmento entra por esa puerta, la más filosófica del artículo: la pregunta por las estructuras subjetivas y su relación con la época en que toca vivir. Ahí aparecen Freud y Lacan junto a Ehrenberg, Byung-Chul Han y Mark Fisher, y las polémicas más incómodas vuelven a escena.</w:t>
      </w:r>
    </w:p>
    <w:p>
      <w:r>
        <w:br w:type="page"/>
      </w:r>
    </w:p>
    <w:p>
      <w:pPr>
        <w:pStyle w:val="Heading1"/>
      </w:pPr>
      <w:r>
        <w:t xml:space="preserve">Por venir</w:t>
      </w:r>
    </w:p>
    <w:p>
      <w:pPr>
        <w:pStyle w:val="Heading2"/>
      </w:pPr>
      <w:r>
        <w:t xml:space="preserve">Segmento 4 — Estructuras mentales y época</w:t>
      </w:r>
    </w:p>
    <w:p>
      <w:pPr>
        <w:spacing w:after="200" w:line="320"/>
        <w:jc w:val="both"/>
      </w:pPr>
      <w:r>
        <w:rPr>
          <w:i/>
          <w:iCs/>
          <w:color w:val="7F7F7F"/>
        </w:rPr>
        <w:t xml:space="preserve">[Pendiente: el nudo clínico y filosófico. Freud (El malestar en la cultura), Lacan (estructuras clínicas), Ehrenberg (La fatiga de ser uno mismo), Byung-Chul Han (La sociedad del cansancio), Mark Fisher (Realismo capitalista). Szasz y Whitaker como contrapunto.]</w:t>
      </w:r>
    </w:p>
    <w:p>
      <w:pPr>
        <w:pStyle w:val="Heading2"/>
      </w:pPr>
      <w:r>
        <w:t xml:space="preserve">Segmento 5 — La respuesta interdisciplinaria</w:t>
      </w:r>
    </w:p>
    <w:p>
      <w:pPr>
        <w:spacing w:after="200" w:line="320"/>
        <w:jc w:val="both"/>
      </w:pPr>
      <w:r>
        <w:rPr>
          <w:i/>
          <w:iCs/>
          <w:color w:val="7F7F7F"/>
        </w:rPr>
        <w:t xml:space="preserve">[Pendiente: por qué ninguna disciplina alcanza sola; articulación de psiquiatría, psicología, psicoanálisis y trabajo social; Salud Mental Costa Rica como encarnación concreta.]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mbria" w:cs="Cambria" w:eastAsia="Cambria" w:hAnsi="Cambria"/>
      <w:b/>
      <w:bCs/>
      <w:sz w:val="32"/>
      <w:szCs w:val="32"/>
    </w:rPr>
  </w:style>
  <w:style w:type="paragraph" w:styleId="Heading2">
    <w:name w:val="Heading 2"/>
    <w:basedOn w:val="Normal"/>
    <w:next w:val="Normal"/>
    <w:qFormat/>
    <w:pPr>
      <w:spacing w:after="160" w:before="360"/>
      <w:outlineLvl w:val="1"/>
    </w:pPr>
    <w:rPr>
      <w:rFonts w:ascii="Cambria" w:cs="Cambria" w:eastAsia="Cambria" w:hAnsi="Cambria"/>
      <w:b/>
      <w:bCs/>
      <w:sz w:val="28"/>
      <w:szCs w:val="28"/>
    </w:rPr>
  </w:style>
  <w:style w:type="paragraph" w:styleId="Heading3">
    <w:name w:val="Heading 3"/>
    <w:basedOn w:val="Normal"/>
    <w:next w:val="Normal"/>
    <w:qFormat/>
    <w:pPr>
      <w:spacing w:after="120" w:before="240"/>
      <w:outlineLvl w:val="2"/>
    </w:pPr>
    <w:rPr>
      <w:rFonts w:ascii="Cambria" w:cs="Cambria" w:eastAsia="Cambria" w:hAnsi="Cambria"/>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2026-04-17T20:27:43.170Z</dcterms:created>
  <dcterms:modified xsi:type="dcterms:W3CDTF">2026-04-17T20:27:43.170Z</dcterms:modified>
</cp:coreProperties>
</file>

<file path=docProps/custom.xml><?xml version="1.0" encoding="utf-8"?>
<Properties xmlns="http://schemas.openxmlformats.org/officeDocument/2006/custom-properties" xmlns:vt="http://schemas.openxmlformats.org/officeDocument/2006/docPropsVTypes"/>
</file>