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Salud mental: una pregunta sobre nuestra época</w:t>
      </w:r>
    </w:p>
    <w:p>
      <w:pPr>
        <w:spacing w:after="120"/>
        <w:jc w:val="center"/>
      </w:pPr>
      <w:r>
        <w:rPr>
          <w:i/>
          <w:iCs/>
          <w:sz w:val="24"/>
          <w:szCs w:val="24"/>
        </w:rPr>
        <w:t xml:space="preserve">Cuarta parte: estructuras mentales y época</w:t>
      </w:r>
    </w:p>
    <w:p>
      <w:pPr>
        <w:spacing w:after="480"/>
        <w:jc w:val="center"/>
      </w:pPr>
      <w:r>
        <w:rPr>
          <w:color w:val="595959"/>
          <w:sz w:val="20"/>
          <w:szCs w:val="20"/>
        </w:rPr>
        <w:t xml:space="preserve">Salud Mental Costa Rica  ·  Borrador de trabajo  ·  Abril 2026</w:t>
      </w:r>
    </w:p>
    <w:p>
      <w:pPr>
        <w:pStyle w:val="Heading1"/>
      </w:pPr>
      <w:r>
        <w:t xml:space="preserve">Continuidad con las partes anteriores</w:t>
      </w:r>
    </w:p>
    <w:p>
      <w:pPr>
        <w:spacing w:after="200" w:line="320"/>
        <w:jc w:val="both"/>
      </w:pPr>
      <w:r>
        <w:t xml:space="preserve">Las tres primeras partes de este artículo fueron acumulando capas. La primera distinguió malestar, trastorno y enfermedad, y puso en guardia frente a la inflación diagnóstica. La segunda mostró que los idiomas culturales del sufrimiento no son folclore sino formas socialmente reconocidas de nombrar y recibir el dolor, y recordó con Freud que las tres fuentes del sufrimiento —el cuerpo propio, el mundo exterior, los vínculos humanos— atraviesan toda cultura. La tercera recorrió la historia occidental de los tratamientos, del humoralismo hipocrático a la farmacología contemporánea, pasando por el asilo, el psicoanálisis y las reformas comunitarias, y mostró que en cualquier consultorio de hoy conviven varias de esas capas.</w:t>
      </w:r>
    </w:p>
    <w:p>
      <w:pPr>
        <w:spacing w:after="200" w:line="320"/>
        <w:jc w:val="both"/>
      </w:pPr>
      <w:r>
        <w:t xml:space="preserve">Queda una pregunta que hasta ahora hemos rozado y conviene abordar de frente: si los idiomas del sufrimiento varían en el espacio y en el tiempo, ¿qué tipo de sufrimiento produce nuestra época, y por qué toma las formas que toma? Esta cuarta parte entra en ese terreno. Para hacerlo con alguna profundidad hay que detenerse primero en un concepto que la tradición psicoanalítica introdujo con fuerza —las estructuras mentales— y luego examinar cómo autores contemporáneos como Alain Ehrenberg, Byung-Chul Han y Mark Fisher leen el malestar de nuestro tiempo. Mantenemos la arquitectura piramidal.</w:t>
      </w:r>
    </w:p>
    <w:p>
      <w:pPr>
        <w:pStyle w:val="Heading2"/>
      </w:pPr>
      <w:r>
        <w:t xml:space="preserve">Arquitectura (recordatorio)</w:t>
      </w:r>
    </w:p>
    <w:p>
      <w:pPr>
        <w:pStyle w:val="ListParagraph"/>
        <w:numPr>
          <w:ilvl w:val="0"/>
          <w:numId w:val="2"/>
        </w:numPr>
        <w:spacing w:after="80" w:line="300"/>
      </w:pPr>
      <w:r>
        <w:t xml:space="preserve">Nivel 1 — Base. Escena o pregunta llana, sin jerga.</w:t>
      </w:r>
    </w:p>
    <w:p>
      <w:pPr>
        <w:pStyle w:val="ListParagraph"/>
        <w:numPr>
          <w:ilvl w:val="0"/>
          <w:numId w:val="2"/>
        </w:numPr>
        <w:spacing w:after="80" w:line="300"/>
      </w:pPr>
      <w:r>
        <w:t xml:space="preserve">Nivel 2 — Encuadre. Concepto central con cuidado, todavía accesible.</w:t>
      </w:r>
    </w:p>
    <w:p>
      <w:pPr>
        <w:pStyle w:val="ListParagraph"/>
        <w:numPr>
          <w:ilvl w:val="0"/>
          <w:numId w:val="2"/>
        </w:numPr>
        <w:spacing w:after="80" w:line="300"/>
      </w:pPr>
      <w:r>
        <w:t xml:space="preserve">Nivel 3 — Tensión especializada. Referencias de prestigio, polémicas, matices.</w:t>
      </w:r>
    </w:p>
    <w:p>
      <w:pPr>
        <w:pStyle w:val="ListParagraph"/>
        <w:numPr>
          <w:ilvl w:val="0"/>
          <w:numId w:val="2"/>
        </w:numPr>
        <w:spacing w:after="80" w:line="300"/>
      </w:pPr>
      <w:r>
        <w:t xml:space="preserve">Nivel 4 — Síntesis y retorno. Reconexión con la escena inicial.</w:t>
      </w:r>
    </w:p>
    <w:p>
      <w:r>
        <w:br w:type="page"/>
      </w:r>
    </w:p>
    <w:p>
      <w:pPr>
        <w:pStyle w:val="Heading1"/>
      </w:pPr>
      <w:r>
        <w:t xml:space="preserve">Segmento 4 — Estructuras mentales y época</w:t>
      </w:r>
    </w:p>
    <w:p>
      <w:pPr>
        <w:pStyle w:val="Heading3"/>
      </w:pPr>
      <w:r>
        <w:t xml:space="preserve">Nivel 1 — Base</w:t>
      </w:r>
    </w:p>
    <w:p>
      <w:pPr>
        <w:spacing w:after="200" w:line="320"/>
        <w:jc w:val="both"/>
      </w:pPr>
      <w:r>
        <w:t xml:space="preserve">Una escena reconocible en San José a mediados de los años veinte del siglo XXI: una profesional de treinta y tantos años se levanta cansada aunque durmió sus horas, abre el teléfono antes de salir de la cama, revisa correos, una plataforma interna, dos chats de trabajo y cuatro redes sociales. En el trayecto a la oficina oye un podcast de productividad. A media mañana siente que no rinde; a media tarde, que le falta tiempo; al volver a casa, que debió haber hecho ejercicio. El domingo por la noche llega con una tensión particular —lo que algunos llaman ansiedad anticipatoria del lunes— y el lunes comienza ya agotada. No está enferma en el sentido médico clásico; tampoco está bien. Un baño y un té de toronjil no alcanzan, como sí pudieron alcanzar para alguna de sus bisabuelas. Ir al psiquiátra parece demasiado; no ir, demasiado poco. Lo que siente tiene nombre en varios registros: estrés crónico, burnout, ansiedad subclínica, síndrome del impostor, fatiga pandémica, fatiga de decisión.</w:t>
      </w:r>
    </w:p>
    <w:p>
      <w:pPr>
        <w:spacing w:after="200" w:line="320"/>
        <w:jc w:val="both"/>
      </w:pPr>
      <w:r>
        <w:t xml:space="preserve">El cuadro no es anecdótico. La Organización Mundial de la Salud estima que en el mundo viven alrededor de 280 millones de personas con depresión y cerca de 300 millones con trastornos de ansiedad, y calculó que durante el primer año de la pandemia de covid-19 la prevalencia de ambos aumentó aproximadamente un 25 por ciento a nivel global. La Organización Panamericana de la Salud ha documentado para la región de las Américas un aumento sostenido de la carga por trastornos mentales y de las consultas de primera vez por ansiedad y depresión en la última década, con una brecha de atención cercana al 75 por ciento —es decir, tres de cada cuatro personas con un trastorno mental no reciben tratamiento especializado. En Costa Rica, las estadísticas de la Caja Costarricense de Seguro Social y del Ministerio de Salud muestran un crecimiento sostenido de las consultas por ansiedad, depresión y reacciones al estrés, y el consumo de antidepresivos e hipnóticos prescritos en el sistema público ha aumentado en los últimos diez a quince años. El suicidio sigue siendo un problema de salud pública de primer orden: la tasa costarricense se ha mantenido entre siete y ocho por cada cien mil habitantes, afecta de manera desproporcionada a los hombres jóvenes y adultos mayores, y un porcentaje alto de los casos se asocia a trastornos depresivos no tratados.</w:t>
      </w:r>
    </w:p>
    <w:p>
      <w:pPr>
        <w:spacing w:after="200" w:line="320"/>
        <w:jc w:val="both"/>
      </w:pPr>
      <w:r>
        <w:t xml:space="preserve">Detrás de estas cifras hay una pregunta que las cifras no responden: ¿por qué nuestra época produce esta forma particular de malestar —cansancio, ansiedad, sensación de no rendir, tristeza privada de sentido público— y no otras? Otras épocas produjeron otros cuadros; otras culturas hoy producen otros sufrimientos. Algo en la manera en que vivimos, trabajamos, nos vinculamos y nos imaginamos a nosotros mismos hace que el malestar tome esta cara. Para entenderlo hace falta detenerse en un concepto que la tradición psicoanalítica introdujo con fuerza: el de estructura mental.</w:t>
      </w:r>
    </w:p>
    <w:p>
      <w:pPr>
        <w:pStyle w:val="Heading3"/>
      </w:pPr>
      <w:r>
        <w:t xml:space="preserve">Nivel 2 — Encuadre</w:t>
      </w:r>
    </w:p>
    <w:p>
      <w:pPr>
        <w:spacing w:after="200" w:line="320"/>
        <w:jc w:val="both"/>
      </w:pPr>
      <w:r>
        <w:t xml:space="preserve">La idea de que la mente tiene una estructura no es evidente. Durante siglos se pensó el malestar mental como un desequilibrio (los humores hipocráticos), como una influencia externa (la posesión, la mala vida) o como un déficit (la debilidad de carácter). A comienzos del siglo XX, Sigmund Freud propuso algo distinto: que el aparato psíquico está organizado en instancias que se relacionan entre sí, y que esa organización determina cómo cada persona elabora sus deseos, sus conflictos y sus síntomas. En El yo y el ello (Das Ich und das Es, 1923) propone el esquema que se volvió popular: el ello —sede de los impulsos—, el yo —instancia mediadora con la realidad— y el super yó —instancia normativa, heredera de las prohibiciones y los ideales. Lo decisivo no es el mapa en sí, sino una afirmación más profunda: el sujeto no es transparente para sí mismo, hay una parte de su experiencia que no controla, y el síntoma —el insomnio, el fobia, el duélo que no cierra— es un compromiso entre fuerzas internas que no se resuelven por voluntad.</w:t>
      </w:r>
    </w:p>
    <w:p>
      <w:pPr>
        <w:spacing w:after="200" w:line="320"/>
        <w:jc w:val="both"/>
      </w:pPr>
      <w:r>
        <w:t xml:space="preserve">En El malestar en la cultura (1930), Freud lleva esa tesis al plano colectivo: propone que toda cultura exige a sus miembros la renuncia a ciertas satisfacciones para hacer posible la convivencia, y que esa renuncia produce un malestar irreducible. No hay sociedad sin algún costo psíquico; lo que cambia son los costos específicos que cada época impone. Para Freud, las neurosis de su tiempo —la histeria vienesa, la neurosis obsesiva del burgués de fines del siglo XIX— eran el precio de una moral sexual particularmente restrictiva. El psicoanalista francés Jacques Lacan, hacia mediados del siglo XX, retomó y reformuló la idea de estructura. Distinguió tres grandes estructuras clínicas —neurosis, psicosis y perversión— como modos diferentes en que el sujeto se relaciona con el lenguaje, con la ley y con la falta, y sostuvo que el inconsciente está estructurado como un lenguaje. La fórmula, polémica, tuvo un efecto importante: situó al sufrimiento psíquico en el terreno del sentido y del discurso, y no solo de la emoción o de la biología.</w:t>
      </w:r>
    </w:p>
    <w:p>
      <w:pPr>
        <w:spacing w:after="200" w:line="320"/>
        <w:jc w:val="both"/>
      </w:pPr>
      <w:r>
        <w:t xml:space="preserve">Conviene detenerse en una intuición que atraviesa esta tradición y que es útil para pensar nuestra época: los síntomas cambian con la época porque cambian los ideales y los mandatos. La histeria, con sus parálisis y cegueras sin causa orgánica, fue el síntoma paradigmático del fin del siglo XIX, cuando la represión sexual era intensa y la mujer burguesa no tenía lugar donde hablar su deseo. La neurastenia —el agotamiento nervioso descrito por el médico estadounidense George Beard a fines del siglo XIX— fue el síntoma del capitán de industria y del intelectual sobreexigido por la modernidad temprana. La depresión, tal como hoy la conocemos, se consolidó como categoría clínica central en la segunda mitad del siglo XX. El burnout entró oficialmente al vocabulario sanitario cuando la OMS lo incluyó en la Clasificación Internacional de Enfermedades (CIE-11) como fenómeno ocupacional, y los cuadros de ansiedad ambiental —ecoansiedad, fatiga pandémica— son novedades del siglo XXI. Esto no significa que la gente “invente” síntomas para acomodarse al espectro del momento; significa algo más fino: el sufrimiento psíquico toma la forma que la cultura le ofrece para expresarse.</w:t>
      </w:r>
    </w:p>
    <w:p>
      <w:pPr>
        <w:pStyle w:val="Heading3"/>
      </w:pPr>
      <w:r>
        <w:t xml:space="preserve">Nivel 3 — Tensión especializada</w:t>
      </w:r>
    </w:p>
    <w:p>
      <w:pPr>
        <w:spacing w:after="200" w:line="320"/>
        <w:jc w:val="both"/>
      </w:pPr>
      <w:r>
        <w:t xml:space="preserve">El primero en formalizar esta lectura para nuestra época fue el sociólogo francés Alain Ehrenberg en La fatigue d’être soi (La fatiga de ser uno mismo, Odile Jacob, 1998). Ehrenberg sostiene que Occidente transitó, a lo largo del siglo XX, de una sociedad de la disciplina —donde el sufrimiento central se organizaba en torno a la prohibición y a la culpa, y producía neurosis— a una sociedad de la performance, donde el sufrimiento se organiza en torno al imperativo de ser uno mismo, de realizarse, de estar a la altura de las propias posibilidades. La neurosis era el síntoma de una época regida por el par prohibido / permitido; la depresión es el síntoma de una época regida por el par posible / imposible. El deprimido, dice Ehrenberg, es alguien agotado de no poder estar a la altura del proyecto de sí mismo que la época le exige. La tesis tiene un poder clarísimo: explica por qué la depresión se volvió tan masiva cuando se volvió masiva —en las últimas décadas del siglo XX, coincidiendo con la expansión del individualismo contemporáneo— y por qué toma la forma que toma: fatiga, inhibición, pérdida de iniciativa, sentimiento de insuficiencia.</w:t>
      </w:r>
    </w:p>
    <w:p>
      <w:pPr>
        <w:spacing w:after="200" w:line="320"/>
        <w:jc w:val="both"/>
      </w:pPr>
      <w:r>
        <w:t xml:space="preserve">Una década después, el filósofo surcoreano-alemán Byung-Chul Han llevó esta intuición un paso más lejos en La sociedad del cansancio (Herder, 2010). Han sostiene que ya no vivimos bajo la lógica del ojo vigilante de Foucault —la sociedad disciplinaria, con sus cárceles, escuelas y fábricas— sino en lo que llama la sociedad del rendimiento, donde el sujeto es al mismo tiempo amo y esclavo de sí. No hay un vigilante externo que lo obligue; el sujeto contemporáneo se explota a sí mismo voluntariamente, bajo el lema del sí se puede, y colapsa cuando no puede más. El síntoma característico ya no es la neurosis ni tampoco solo la depresión clásica, sino el agotamiento, el burnout, un cansancio que no se repara con descanso porque no se origina en un exceso de trabajo externo sino en un mandato internalizado de hiperactividad. La crítica que se le hace a Han —entre otros, desde la sociología empírica anglosajona— es que sus diagnósticos son más aforismos ensayísticos que teorías contrastadas, y que tienden a universalizar experiencias de clase media urbana occidental. La crítica es justa; el diagnóstico, aun así, toca algo reconocible.</w:t>
      </w:r>
    </w:p>
    <w:p>
      <w:pPr>
        <w:spacing w:after="200" w:line="320"/>
        <w:jc w:val="both"/>
      </w:pPr>
      <w:r>
        <w:t xml:space="preserve">El teórico cultural británico Mark Fisher, en Realismo capitalista (Zero Books, 2009), lleva la pregunta al plano político. Observa que entre los jóvenes ingleses de los años dos mil la depresión se ha vuelto endémica, y sostiene que eso no es un accidente individual sino el efecto de una estructura social que privatiza el sufrimiento. Si las condiciones de vida —precariedad laboral, endeudamiento, fragmentación de la comunidad, exceso de pantallas— producen malestar, y la única respuesta que el sistema ofrece es ir al psiquiátra a que me ajuste la dosis, lo que ocurre es que la política se traduce en síntoma individual. Fisher llama a esto la privatización del estrés. Su libro corto se volvió una referencia ineludible en la discusión contemporánea sobre salud mental y política, y su muerte por suicidio en 2017 le dio, trágicamente, un peso adicional. La crítica que se le hace es simétrica a la que se le hace a Han: su diagnóstico estructural corre el riesgo de minimizar la dimensión biológica y personal del sufrimiento. No toda depresión es efecto del capitalismo tardío; algunas son efecto de una predisposición genética, de un duelo, de una enfermedad médica concurrente. Si la lectura “solo psiquiátrica” borra lo social, la lectura “solo social” corre el riesgo simétrico de borrar lo clínico.</w:t>
      </w:r>
    </w:p>
    <w:p>
      <w:pPr>
        <w:spacing w:after="200" w:line="320"/>
        <w:jc w:val="both"/>
      </w:pPr>
      <w:r>
        <w:t xml:space="preserve">En este punto conviene recuperar dos contrapuntos. Thomas Szasz, en El mito de la enfermedad mental (Harper, 1961), había advertido dos décadas antes de Ehrenberg que la psiquiatría corría el riesgo de convertir problemas de la vida —divorcios, duelos, fracasos laborales, desacuerdos morales— en enfermedades médicas. El periodista Robert Whitaker, en Anatomía de una epidemia (Crown, 2010), documentó lo mismo en clave empírica para el caso de la psicofarmacología masiva. El argumento de fondo de estas críticas es importante y no debe perderse: si todo malestar se médicaliza, se pierde la capacidad de distinguir el sufrimiento que reclama cambio vital del que reclama tratamiento clínico, y se empobrece la respuesta social. Pero hay un riesgo simétrico —que Allen Frances ya advertía en la primera parte de este artículo—: si todo malestar se lee como síntoma de la época, se corre el peligro de dejar sin tratamiento a personas con trastornos severos para las cuales la medicación y el seguimiento clínico son, literalmente, la diferencia entre la vida y la muerte. La psiquiatra estadounidense Kay Redfield Jamison, en An Unquiet Mind (Knopf, 1995), lo describe con elocuencia desde su propia experiencia con trastorno bipolar: ningún diagnóstico de época le hubiera bastado, y ninguna crítica al DSM le hubiera devuelto la vida que el litio le devolvió.</w:t>
      </w:r>
    </w:p>
    <w:p>
      <w:pPr>
        <w:spacing w:after="200" w:line="320"/>
        <w:jc w:val="both"/>
      </w:pPr>
      <w:r>
        <w:t xml:space="preserve">De este cruce de posiciones se puede extraer una síntesis sobria. Primera lección: la época importa. Las tasas crecientes de ansiedad, depresión y agotamiento no son solo efecto de que “añora se diagnostica más”; son también efecto de condiciones materiales, culturales y simbólicas que producen sufrimiento en dosis nuevas. Segunda lección: la estructura importa. Las mismas condiciones no producen el mismo síntoma en todas las personas; la historia personal, los vínculos tempranos y la organización subjetiva —lo que el psicoanálisis llama estructura— filtran y modulan cómo cada cual sufre la época. Tercera lección: la biología también. Hay cuadros cuya dimensión orgánica es innegable y cuyo tratamiento no puede reducirse ni a la crítica cultural ni al trabajo psicoterapéutico: un episodio psicótico agudo, un trastorno bipolar tipo I, una depresión mayor con riesgo suicida requieren, además de todo lo demás, intervención farmacológica y seguimiento médico. El error intelectual y clínico consiste en jugar una lección contra otra. Una clínica seria las integra.</w:t>
      </w:r>
    </w:p>
    <w:p>
      <w:pPr>
        <w:pStyle w:val="Heading3"/>
      </w:pPr>
      <w:r>
        <w:t xml:space="preserve">Nivel 4 — Síntesis y retorno</w:t>
      </w:r>
    </w:p>
    <w:p>
      <w:pPr>
        <w:spacing w:after="200" w:line="320"/>
        <w:jc w:val="both"/>
      </w:pPr>
      <w:r>
        <w:t xml:space="preserve">Volvamos a la profesional de San José del comienzo. Su cansancio de lunes no es una mera impresión subjetiva ni una falta de disciplina; está alimentado por un entorno laboral que borró los límites entre trabajo y descanso, por una economía de la atención diseñada para capturar sus horas libres, por un imperativo cultural de realización permanente, por vidas urbanas que fragmentaron los vínculos comunitarios que sostenían a sus abuelas, y por una época que privatizó el sufrimiento. Todo eso es real y actúa sobre ella. Pero no actúa sobre ella de cualquier manera: actúa sobre una historia particular —una infancia, unos duelos, unos vínculos primarios— y sobre un organismo particular con su propia sensibilidad biológica al estrés crónico. Pensar solo la época y olvidar su historia la vuelve un síntoma de masa; pensar solo su historia y olvidar la época la vuelve una paciente aislada de su mundo; pensar solo su organismo y olvidar las dos cosas anteriores la deja reducida a una dosis. Las tres lecturas son parciales y, por eso mismo, peligrosas si se toman por separado.</w:t>
      </w:r>
    </w:p>
    <w:p>
      <w:pPr>
        <w:spacing w:after="200" w:line="320"/>
        <w:jc w:val="both"/>
      </w:pPr>
      <w:r>
        <w:t xml:space="preserve">De ahí la necesidad —cada vez más evidente— de una clínica que pueda sostener a la vez la lectura de la época, la lectura de la estructura subjetiva y la lectura del cuerpo. Ese es un oficio que desborda a cualquier disciplina tomada por sí sola. El psiquiátra, formado para leer la dimensión biológica y manejar la farmacología, no puede por sí solo dar cuenta del entramado subjetivo ni del contexto social. La psicóloga clínica, entrenada en la escucha del sufrimiento y en técnicas de intervención probadas, no prescribe medicación ni cubre todas las situaciones de emergencia. El trabajador social conoce las redes institucionales y comunitarias que el consultorio no alcanza. La enfermera de salud mental sostiene el día a día del seguimiento que ninguna consulta de cuarenta y cinco minutos cubre. Y nadie se cura a solas. La quinta parte —y última— de este artículo aborda justamente esta pregunta: cómo organizar una respuesta a la altura de lo que hemos descrito. Defenderemos una tesis concreta: que un equipo interdisciplinario articulado —psiquiátra, psicólogo/a, trabajador/a social, otros saberes según el caso— no es un lujo académico sino la forma clínica más avanzada que la cultura ha producido para recibir el malestar contemporáneo. Y mostraremos cómo Salud Mental Costa Rica intenta, en su práctica cotidiana, encarnar esa apuesta.</w:t>
      </w:r>
    </w:p>
    <w:p>
      <w:r>
        <w:br w:type="page"/>
      </w:r>
    </w:p>
    <w:p>
      <w:pPr>
        <w:pStyle w:val="Heading1"/>
      </w:pPr>
      <w:r>
        <w:t xml:space="preserve">Por venir</w:t>
      </w:r>
    </w:p>
    <w:p>
      <w:pPr>
        <w:spacing w:after="200" w:line="320"/>
        <w:jc w:val="both"/>
      </w:pPr>
      <w:r>
        <w:rPr>
          <w:i/>
          <w:iCs/>
          <w:color w:val="7F7F7F"/>
        </w:rPr>
        <w:t xml:space="preserve">[Segmento 5 — La respuesta interdisciplinaria. Presentación de Salud Mental Costa Rica como encarnación del enfoque interdisciplinario: articulación clínica entre psiquiatría, psicología, trabajo social y otros saberes; cierre retórico del artículo.]</w:t>
      </w:r>
    </w:p>
    <w:p>
      <w:pPr>
        <w:spacing w:after="200" w:line="320"/>
        <w:jc w:val="both"/>
      </w:pPr>
      <w:r>
        <w:rPr>
          <w:i/>
          <w:iCs/>
          <w:color w:val="7F7F7F"/>
        </w:rPr>
        <w:t xml:space="preserve">[Cierre y referencias — sección final con bibliografía (formato por decidir: APA o Chicago).]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sz w:val="32"/>
      <w:szCs w:val="32"/>
    </w:rPr>
  </w:style>
  <w:style w:type="paragraph" w:styleId="Heading2">
    <w:name w:val="Heading 2"/>
    <w:basedOn w:val="Normal"/>
    <w:next w:val="Normal"/>
    <w:qFormat/>
    <w:pPr>
      <w:spacing w:after="160" w:before="360"/>
      <w:outlineLvl w:val="1"/>
    </w:pPr>
    <w:rPr>
      <w:rFonts w:ascii="Cambria" w:cs="Cambria" w:eastAsia="Cambria" w:hAnsi="Cambria"/>
      <w:b/>
      <w:bCs/>
      <w:sz w:val="28"/>
      <w:szCs w:val="28"/>
    </w:rPr>
  </w:style>
  <w:style w:type="paragraph" w:styleId="Heading3">
    <w:name w:val="Heading 3"/>
    <w:basedOn w:val="Normal"/>
    <w:next w:val="Normal"/>
    <w:qFormat/>
    <w:pPr>
      <w:spacing w:after="120" w:before="24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2026-04-17T20:42:42.929Z</dcterms:created>
  <dcterms:modified xsi:type="dcterms:W3CDTF">2026-04-17T20:42:42.929Z</dcterms:modified>
</cp:coreProperties>
</file>

<file path=docProps/custom.xml><?xml version="1.0" encoding="utf-8"?>
<Properties xmlns="http://schemas.openxmlformats.org/officeDocument/2006/custom-properties" xmlns:vt="http://schemas.openxmlformats.org/officeDocument/2006/docPropsVTypes"/>
</file>