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Salud mental: una pregunta sobre nuestra época</w:t>
      </w:r>
    </w:p>
    <w:p>
      <w:pPr>
        <w:spacing w:after="120"/>
        <w:jc w:val="center"/>
      </w:pPr>
      <w:r>
        <w:rPr>
          <w:i/>
          <w:iCs/>
          <w:sz w:val="24"/>
          <w:szCs w:val="24"/>
        </w:rPr>
        <w:t xml:space="preserve">Quinta parte: la respuesta interdisciplinaria</w:t>
      </w:r>
    </w:p>
    <w:p>
      <w:pPr>
        <w:spacing w:after="480"/>
        <w:jc w:val="center"/>
      </w:pPr>
      <w:r>
        <w:rPr>
          <w:color w:val="595959"/>
          <w:sz w:val="20"/>
          <w:szCs w:val="20"/>
        </w:rPr>
        <w:t xml:space="preserve">Salud Mental Costa Rica  ·  Borrador de trabajo  ·  Abril 2026</w:t>
      </w:r>
    </w:p>
    <w:p>
      <w:pPr>
        <w:pStyle w:val="Heading1"/>
      </w:pPr>
      <w:r>
        <w:t xml:space="preserve">Continuidad con las partes anteriores</w:t>
      </w:r>
    </w:p>
    <w:p>
      <w:pPr>
        <w:spacing w:after="200" w:line="320"/>
        <w:jc w:val="both"/>
      </w:pPr>
      <w:r>
        <w:t xml:space="preserve">Este artículo ha recorrido cuatro pasos. Primero, la pregunta cotidiana por lo que significa estar bien, y la distinción entre malestar, trastorno y enfermedad. Segundo, el problema del relativismo cultural: los idiomas del sufrimiento no son folclore sino formas socialmente reconocidas de nombrar y recibir el dolor, y con Freud lo irreductible de las tres fuentes del sufrimiento —el cuerpo propio, el mundo exterior, los vínculos humanos— que atraviesan toda cultura. Tercero, una historia breve del malestar y sus tratamientos, del humoralismo hipocrático a la farmacología contemporánea. Cuarto, la pregunta por nuestra época: por qué produce esta forma particular de malestar —cansancio, ansiedad, depresión, burnout— y no otras, y qué lecciones deja el cruce entre la dimensión social de la época, la estructura subjetiva y la biología.</w:t>
      </w:r>
    </w:p>
    <w:p>
      <w:pPr>
        <w:spacing w:after="200" w:line="320"/>
        <w:jc w:val="both"/>
      </w:pPr>
      <w:r>
        <w:t xml:space="preserve">Las cuatro partes convergen aquí. Si el sufrimiento contemporáneo se organiza en capas —cultural, biográfica, clínica, biológica—, la respuesta no puede organizarse en una sola. Esta quinta y última parte sostiene una tesis: la forma clínica más avanzada que nuestra cultura ha producido para recibir esa complejidad es el equipo interdisciplinario articulado. No es un ideal académico ni una moda institucional; es una necesidad que se desprende de todo lo que venimos diciendo. Presentaremos esa tesis y mostraremos cómo Salud Mental Costa Rica la pone en práctica. Mantenemos la arquitectura piramidal hasta el final.</w:t>
      </w:r>
    </w:p>
    <w:p>
      <w:pPr>
        <w:pStyle w:val="Heading2"/>
      </w:pPr>
      <w:r>
        <w:t xml:space="preserve">Arquitectura (recordatorio)</w:t>
      </w:r>
    </w:p>
    <w:p>
      <w:pPr>
        <w:pStyle w:val="ListParagraph"/>
        <w:numPr>
          <w:ilvl w:val="0"/>
          <w:numId w:val="2"/>
        </w:numPr>
        <w:spacing w:after="80" w:line="300"/>
      </w:pPr>
      <w:r>
        <w:t xml:space="preserve">Nivel 1 — Base. Escena o pregunta llana, sin jerga.</w:t>
      </w:r>
    </w:p>
    <w:p>
      <w:pPr>
        <w:pStyle w:val="ListParagraph"/>
        <w:numPr>
          <w:ilvl w:val="0"/>
          <w:numId w:val="2"/>
        </w:numPr>
        <w:spacing w:after="80" w:line="300"/>
      </w:pPr>
      <w:r>
        <w:t xml:space="preserve">Nivel 2 — Encuadre. Concepto central con cuidado, todavía accesible.</w:t>
      </w:r>
    </w:p>
    <w:p>
      <w:pPr>
        <w:pStyle w:val="ListParagraph"/>
        <w:numPr>
          <w:ilvl w:val="0"/>
          <w:numId w:val="2"/>
        </w:numPr>
        <w:spacing w:after="80" w:line="300"/>
      </w:pPr>
      <w:r>
        <w:t xml:space="preserve">Nivel 3 — Tensión especializada. Referencias de prestigio, polémicas, matices.</w:t>
      </w:r>
    </w:p>
    <w:p>
      <w:pPr>
        <w:pStyle w:val="ListParagraph"/>
        <w:numPr>
          <w:ilvl w:val="0"/>
          <w:numId w:val="2"/>
        </w:numPr>
        <w:spacing w:after="80" w:line="300"/>
      </w:pPr>
      <w:r>
        <w:t xml:space="preserve">Nivel 4 — Síntesis y retorno. Reconexión con la escena inicial.</w:t>
      </w:r>
    </w:p>
    <w:p>
      <w:r>
        <w:br w:type="page"/>
      </w:r>
    </w:p>
    <w:p>
      <w:pPr>
        <w:pStyle w:val="Heading1"/>
      </w:pPr>
      <w:r>
        <w:t xml:space="preserve">Segmento 5 — La respuesta interdisciplinaria</w:t>
      </w:r>
    </w:p>
    <w:p>
      <w:pPr>
        <w:pStyle w:val="Heading3"/>
      </w:pPr>
      <w:r>
        <w:t xml:space="preserve">Nivel 1 — Base</w:t>
      </w:r>
    </w:p>
    <w:p>
      <w:pPr>
        <w:spacing w:after="200" w:line="320"/>
        <w:jc w:val="both"/>
      </w:pPr>
      <w:r>
        <w:t xml:space="preserve">Una familia costarricense descubre que su hijo de veintidós años, estudiante universitario, lleva varias semanas sin salir del cuarto, no contesta los mensajes y ha bajado de peso. Después de una noche mala, la madre consigue que acepte ir a una consulta. ¿Adónde llevarlo? Una opción es el EBAIS del barrio, donde el médico general podrá hacer una primera valoración, descartar causas orgánicas y, según el caso, referirlo al área de salud mental de la Caja. Otra es buscar directamente un psiquiátra privado, que en cuarenta y cinco minutos hará una entrevista, propondrá un diagnóstico presuntivo y probablemente iniciará un tratamiento farmacológico. Otra es llamar a una psicóloga clínica, que lo recibirá en terapia semanal pero no podrá prescribir medicación si hace falta. Otra es acudir a una clínica privada con varios profesionales. Cada una de esas puertas ofrece una mirada; ninguna, por sí sola, es suficiente.</w:t>
      </w:r>
    </w:p>
    <w:p>
      <w:pPr>
        <w:spacing w:after="200" w:line="320"/>
        <w:jc w:val="both"/>
      </w:pPr>
      <w:r>
        <w:t xml:space="preserve">La intuición del párrafo anterior es la que guiará este segmento. El sufrimiento que hemos descrito en las cuatro partes previas —ese que se teje con hilos culturales, biográficos, clínicos y biológicos— no puede ser atendido bien desde una sola disciplina. La pregunta no es solo a qué profesional ir, sino cómo articular varios de ellos para que el tratamiento responda a la complejidad del caso. La palabra para esa articulación tiene ya un siglo de historia en la teoría y las políticas públicas: interdisciplinariedad. Pero la palabra se usa mucho más de lo que se practica bien. En el resto del segmento intentamos decir con precisión qué significa, dónde aprieta y por qué vale el esfuerzo.</w:t>
      </w:r>
    </w:p>
    <w:p>
      <w:pPr>
        <w:pStyle w:val="Heading3"/>
      </w:pPr>
      <w:r>
        <w:t xml:space="preserve">Nivel 2 — Encuadre</w:t>
      </w:r>
    </w:p>
    <w:p>
      <w:pPr>
        <w:spacing w:after="200" w:line="320"/>
        <w:jc w:val="both"/>
      </w:pPr>
      <w:r>
        <w:t xml:space="preserve">Conviene distinguir primero tres palabras que a veces se usan como sinónimos. Multidisciplinario describe una situación en la que varios profesionales de distintas disciplinas atienden al mismo paciente, pero cada uno opera desde su oficina y su marco, sin diálogo estructurado entre ellos. Es lo más frecuente en la práctica cotidiana: el paciente ve a su psiquiátra los martes y a su psicóloga los jueves, y cada uno hace su trabajo por separado. Interdisciplinario describe algo más exigente: los profesionales comparten el caso, se hablan, toman decisiones conjuntas y articulan sus intervenciones de modo que no se superpongan ni se contradigan. Transdisciplinario nombra un paso más —y más raro— en que los límites mismos entre disciplinas se vuelven porosos y se construyen marcos comunes. Para los fines de este artículo, nos quedamos con la segunda: el equipo interdisciplinario es aquel cuyos miembros, sin renunciar a la especificidad de su formación, trabajan articulados en torno al caso.</w:t>
      </w:r>
    </w:p>
    <w:p>
      <w:pPr>
        <w:spacing w:after="200" w:line="320"/>
        <w:jc w:val="both"/>
      </w:pPr>
      <w:r>
        <w:t xml:space="preserve">Por qué importa la distinción. Porque las investigaciones sobre resultados clínicos vienen mostrando, con evidencia creciente, que los modelos articulados producen mejores desenlaces que la atención usual fragmentada. El ejemplo clásico es el estudio IMPACT, publicado por Jürgen Unützer y colaboradores en el Journal of the American Medical Association en 2002, que probó un modelo de cuidados colaborativos para depresión en personas mayores en atención primaria —médico general más gestor de casos más consultor psiquiátrico, con revisión periódica en equipo— y mostró aproximadamente el doble de mejoría clínica que la atención habitual. La revisión sistemática de Archer y colaboradores (Cochrane Database, 2012) confirmó el hallazgo con decenas de ensayos posteriores. Los britanicos Graham Thornicroft y Michele Tansella, en Better Mental Health Care (Cambridge University Press, 2009), proponen como estándar internacional el modelo de atención equilibrada —balanced care model—, que articula atención primaria, servicios comunitarios, hospitalización breve y rehabilitación psicosocial en una red integrada. La Organización Mundial de la Salud, en su programa mhGAP (iniciado en 2008 y actualizado periódicamente), recomienda como estrategia central la integración de la salud mental en atención primaria con apoyo especializado articulado: es la única forma real de cerrar la brecha de atención del 75 por ciento que mencionamos en la parte anterior.</w:t>
      </w:r>
    </w:p>
    <w:p>
      <w:pPr>
        <w:spacing w:after="200" w:line="320"/>
        <w:jc w:val="both"/>
      </w:pPr>
      <w:r>
        <w:t xml:space="preserve">La composición de un equipo interdisciplinario varía según el contexto, pero hay perfiles que conviene sostener. El psiquiátra aporta la lectura de la dimensión biológica y la posibilidad de manejar la farmacología cuando hace falta —algo que ninguna otra profesión está autorizada a hacer— y tiene la mirada médica para descartar causas orgánicas. El psicólogo o la psicóloga clínica aportan la escucha del sufrimiento y las técnicas de intervención —psicoanalíticas, cognitivo-conductuales, sistémicas, humanistas, integradoras— para un trabajo sostenido en el tiempo que la consulta psiquiátrica breve no puede cubrir. El trabajador o trabajadora social conoce las redes institucionales, comunitarias y familiares en las que el paciente vive, y sin ese conocimiento muchas veces el tratamiento no aterriza. La enfermera o el enfermero de salud mental sostiene el seguimiento cotidiano, la adherencia a la medicación, la detección temprana de recaídas. Según el caso pueden sumarse terapeutas ocupacionales, psicopedagogos, nutricionistas, médicos generales, y por supuesto la familia como parte activa del tratamiento. Nadie sana solo; tampoco nadie trata solo.</w:t>
      </w:r>
    </w:p>
    <w:p>
      <w:pPr>
        <w:pStyle w:val="Heading3"/>
      </w:pPr>
      <w:r>
        <w:t xml:space="preserve">Nivel 3 — Tensión especializada</w:t>
      </w:r>
    </w:p>
    <w:p>
      <w:pPr>
        <w:spacing w:after="200" w:line="320"/>
        <w:jc w:val="both"/>
      </w:pPr>
      <w:r>
        <w:t xml:space="preserve">El ideal interdisciplinario es fácil de enunciar y difícil de sostener. Conviene mirar de frente sus tensiones. La primera es epistemológica. El modelo biomédico —que lee el trastorno como alteración del funcionamiento cerebral— y el modelo psicosocial —que lee el síntoma como producto de la historia, los vínculos y el contexto— no son traducibles entre sí sin resto. En los años setenta, el internista estadounidense George Engel propuso en Science (1977) el llamado modelo biopsicosocial como marco integrador: una misma persona se lee simultáneamente en su biología, su subjetividad y su mundo relacional. La propuesta, hoy ampliamente citada, no está exenta de críticas. El psiquiátra estadounidense Nassir Ghaemi, en The Rise and Fall of the Biopsychosocial Model (Johns Hopkins University Press, 2010), argumenta que el modelo, tal como se usó en la práctica, se volvió un lugar común que termina suspendiendo el juicio clínico en lugar de orientarlo: todo puede ser biológico, psicológico y social a la vez, y por tanto nada obliga a decidir. Su crítica es pertinente: la articulación interdisciplinaria no puede ser un eclecticismo blando; exige jerarquizaciones caso por caso, con criterios explícitos.</w:t>
      </w:r>
    </w:p>
    <w:p>
      <w:pPr>
        <w:spacing w:after="200" w:line="320"/>
        <w:jc w:val="both"/>
      </w:pPr>
      <w:r>
        <w:t xml:space="preserve">La segunda tensión es política, interna al equipo. Los equipos interdisciplinarios arrastran asimetrías de poder que vienen de la historia de las profesiones. El psiquiátra, por formación médica y por la autoridad cultural asociada al gesto diagnóstico y prescriptivo, tiende a ocupar por defecto el lugar del líder. La psicología clínica, con un siglo largo de consolidación disciplinaria, a veces se posiciona como contraparte crítica. El trabajo social, la enfermería y la terapia ocupacional suelen ser subvalorados en términos de prestigio y de remuneración, a pesar de que buena parte del trabajo real descansa en ellos. La antropóloga médica estadounidense Tanya Luhrmann, en Of Two Minds (Knopf, 2000), mostró con trabajo de campo en hospitales psiquiátricos la tensión cotidiana entre la formación biológica y la formación psicodinámica dentro de una misma institución y cómo esas tensiones terminan afectando al paciente. Sostener un equipo interdisciplinario real, en consecuencia, exige dispositivos explícitos de articulación —reuniones clínicas periódicas, supervisión compartida, criterios comunes para la toma de decisiones— que no salen espontáneamente.</w:t>
      </w:r>
    </w:p>
    <w:p>
      <w:pPr>
        <w:spacing w:after="200" w:line="320"/>
        <w:jc w:val="both"/>
      </w:pPr>
      <w:r>
        <w:t xml:space="preserve">La tercera tensión es material y tiene un peso particular en América Latina. Sostener un equipo articulado requiere tiempo —el tiempo de las reuniones clínicas, de la comunicación entre profesionales, de la formación continua— y ese tiempo es escaso en contextos de alta demanda y recursos limitados. La OPS ha documentado para la región una proporción baja de psiquiátras y psicólogos por habitante, una concentración de especialistas en las capitales y un acceso desigual en zonas rurales. Costa Rica tiene un sistema de salud público con cobertura amplia —la CCSS y su red de EBAIS— que en términos comparados regionales es una fortaleza, y ha desarrollado programas nacionales de salud mental. Pero los tiempos de espera para la consulta especializada son largos, el seguimiento frecuente es difícil, y la articulación fina entre niveles de atención es un trabajo permanente. La práctica privada, por su parte, suele organizarse en torno a consultorios individuales que no necesariamente se hablan entre sí. Entre la pública saturada y la privada fragmentada, hay un espacio que reclama otra figura: el equipo privado interdisciplinario articulado que pueda sostener casos complejos con la continuidad que lo público muchas veces no puede garantizar.</w:t>
      </w:r>
    </w:p>
    <w:p>
      <w:pPr>
        <w:spacing w:after="200" w:line="320"/>
        <w:jc w:val="both"/>
      </w:pPr>
      <w:r>
        <w:t xml:space="preserve">La cuarta tensión es clínica y vuelve a las polémicas de la parte anterior. Un equipo interdisciplinario debe poder jugar —al mismo tiempo— contra la medicalización excesiva que denuncian Szasz, Whitaker y Allen Frances, y contra el riesgo simétrico de dejar sin tratamiento cuadros severos que requieren intervención farmacológica y seguimiento médico sostenido. La defensa de la palabra y la escucha no puede volverse desprecio por la medicación cuando ésta es necesaria; la defensa de la farmacología no puede volverse reducción del sujeto a su neuroquímica. El criterio operativo es clínico: según el caso, según la fase del tratamiento, según la evidencia disponible. Esto exige profesionales que se reconozcan límites, que confíen en las competencias del resto y que tengan humildad para revisar sus propios marcos. No hay modo de simular esas condiciones. Se construyen, con tiempo, con prueba, con trabajo conjunto sostenido.</w:t>
      </w:r>
    </w:p>
    <w:p>
      <w:pPr>
        <w:pStyle w:val="Heading3"/>
      </w:pPr>
      <w:r>
        <w:t xml:space="preserve">Nivel 4 — Síntesis y retorno</w:t>
      </w:r>
    </w:p>
    <w:p>
      <w:pPr>
        <w:spacing w:after="200" w:line="320"/>
        <w:jc w:val="both"/>
      </w:pPr>
      <w:r>
        <w:t xml:space="preserve">Volvamos al joven universitario que no sale del cuarto, y a su familia buscando a dónde llevarlo. La respuesta que ha intentado construir Salud Mental Costa Rica —el proyecto desde el cual se escribe este artículo— es precisamente un equipo interdisciplinario articulado. La propuesta es sencilla de enunciar y exigente de sostener: un mismo caso es recibido, según lo que requiera, por psiquiatría, psicología clínica, trabajo social y otras disciplinas auxiliares, con reuniones clínicas periódicas en las que los profesionales se hablan, comparten la lectura del caso y ajustan en conjunto el plan terapéutico. No se trata de acumular consultas paralelas sino de construir una mirada articulada que pueda sostener las cuatro capas que este artículo fue desplegando: la herencia cultural con la que cada paciente llega, la historia personal que moldea su estructura, la época que le impone sus mandatos y síntomas específicos, y el cuerpo concreto con su biología. Ese es el oficio que desborda cualquier disciplina tomada por separado, y es el oficio que este proyecto ha decidido practicar.</w:t>
      </w:r>
    </w:p>
    <w:p>
      <w:pPr>
        <w:spacing w:after="200" w:line="320"/>
        <w:jc w:val="both"/>
      </w:pPr>
      <w:r>
        <w:t xml:space="preserve">Al cerrar, vale la pena volver a la pregunta inicial. En la primera parte preguntábamos, con aparente inocencia, qué significa estar bien. Hemos aprendido que esa pregunta no tiene respuesta única, que varía según culturas y épocas, que arrastra una larga historia de tratamientos desiguales, que se cruza con la forma particular del malestar contemporáneo, y que para recibirla con seriedad clínica hace falta un trabajo de equipo. Pero hay algo que sí podemos decir al cabo del recorrido: estar bien, hoy, tiene al menos esta condición —no tener que enfrentar solo lo que no se puede enfrentar solo, y poder contar, cuando hace falta, con una red de saberes que se hablen entre sí. Salud Mental Costa Rica existe para ser uno de esos nodos. Este artículo, el primero de una serie, fue escrito para explicar por qué cree que vale la pena sostener ese lugar.</w:t>
      </w:r>
    </w:p>
    <w:p>
      <w:r>
        <w:br w:type="page"/>
      </w:r>
    </w:p>
    <w:p>
      <w:pPr>
        <w:pStyle w:val="Heading1"/>
      </w:pPr>
      <w:r>
        <w:t xml:space="preserve">Por venir</w:t>
      </w:r>
    </w:p>
    <w:p>
      <w:pPr>
        <w:spacing w:after="200" w:line="320"/>
        <w:jc w:val="both"/>
      </w:pPr>
      <w:r>
        <w:rPr>
          <w:i/>
          <w:iCs/>
          <w:color w:val="7F7F7F"/>
        </w:rPr>
        <w:t xml:space="preserve">[Cierre y referencias — sección final con bibliografía (formato por decidir: APA o Chicago). Incluirá todas las obras citadas a lo largo de los cinco segmentos: Canguilhem, Horwitz y Wakefield, Allen Frances, Kleinman, Good, Geertz, Watters, Freud, Lacan, Burton, Pinel, Esquirol, Kraepelin, Foucault, Swain y Gauchet, Laing, Szasz, Basaglia, Whitaker, Pies, Ghaemi, Kramer, Jamison, Ehrenberg, Byung-Chul Han, Mark Fisher, Engel, Unützer y cols. (IMPACT), Archer y cols. (Cochrane), Thornicroft y Tansella, Luhrmann, y las fuentes OMS/OPS/CCSS.]</w:t>
      </w:r>
    </w:p>
    <w:p>
      <w:pPr>
        <w:spacing w:after="200" w:line="320"/>
        <w:jc w:val="both"/>
      </w:pPr>
      <w:r>
        <w:rPr>
          <w:i/>
          <w:iCs/>
          <w:color w:val="7F7F7F"/>
        </w:rPr>
        <w:t xml:space="preserve">[Nota sobre datos — en el editable final conviene revisar las cifras exactas (tasas de suicidio en Costa Rica por año, series de prescripción de psicofármacos de la CCSS, brecha de atención OPS) con fuentes citables a pie de página.]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mbria" w:cs="Cambria" w:eastAsia="Cambria" w:hAnsi="Cambria"/>
      <w:b/>
      <w:bCs/>
      <w:sz w:val="32"/>
      <w:szCs w:val="32"/>
    </w:rPr>
  </w:style>
  <w:style w:type="paragraph" w:styleId="Heading2">
    <w:name w:val="Heading 2"/>
    <w:basedOn w:val="Normal"/>
    <w:next w:val="Normal"/>
    <w:qFormat/>
    <w:pPr>
      <w:spacing w:after="160" w:before="360"/>
      <w:outlineLvl w:val="1"/>
    </w:pPr>
    <w:rPr>
      <w:rFonts w:ascii="Cambria" w:cs="Cambria" w:eastAsia="Cambria" w:hAnsi="Cambria"/>
      <w:b/>
      <w:bCs/>
      <w:sz w:val="28"/>
      <w:szCs w:val="28"/>
    </w:rPr>
  </w:style>
  <w:style w:type="paragraph" w:styleId="Heading3">
    <w:name w:val="Heading 3"/>
    <w:basedOn w:val="Normal"/>
    <w:next w:val="Normal"/>
    <w:qFormat/>
    <w:pPr>
      <w:spacing w:after="120" w:before="240"/>
      <w:outlineLvl w:val="2"/>
    </w:pPr>
    <w:rPr>
      <w:rFonts w:ascii="Cambria" w:cs="Cambria" w:eastAsia="Cambria" w:hAnsi="Cambria"/>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2026-04-17T20:55:19.924Z</dcterms:created>
  <dcterms:modified xsi:type="dcterms:W3CDTF">2026-04-17T20:55:19.925Z</dcterms:modified>
</cp:coreProperties>
</file>

<file path=docProps/custom.xml><?xml version="1.0" encoding="utf-8"?>
<Properties xmlns="http://schemas.openxmlformats.org/officeDocument/2006/custom-properties" xmlns:vt="http://schemas.openxmlformats.org/officeDocument/2006/docPropsVTypes"/>
</file>