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2"/>
          <w:szCs w:val="32"/>
        </w:rPr>
        <w:t xml:space="preserve">Carrusel 1 — La pregunta cotidiana</w:t>
      </w:r>
    </w:p>
    <w:p>
      <w:pPr>
        <w:spacing w:after="400"/>
      </w:pPr>
      <w:r>
        <w:rPr>
          <w:rFonts w:ascii="Arial" w:cs="Arial" w:eastAsia="Arial" w:hAnsi="Arial"/>
          <w:color w:val="888888"/>
          <w:sz w:val="20"/>
          <w:szCs w:val="20"/>
        </w:rPr>
        <w:t xml:space="preserve">Serie: Salud mental: una pregunta sobre nuestra época</w:t>
      </w:r>
    </w:p>
    <w:p>
      <w:pPr>
        <w:spacing w:after="80" w:before="300"/>
      </w:pPr>
      <w:r>
        <w:rPr>
          <w:rFonts w:ascii="Arial" w:cs="Arial" w:eastAsia="Arial" w:hAnsi="Arial"/>
          <w:b/>
          <w:bCs/>
          <w:color w:val="26215C"/>
          <w:sz w:val="24"/>
          <w:szCs w:val="24"/>
        </w:rPr>
        <w:t xml:space="preserve">Placa 1 — Portada</w:t>
      </w:r>
    </w:p>
    <w:p>
      <w:pPr>
        <w:spacing w:after="80"/>
      </w:pPr>
      <w:r>
        <w:rPr>
          <w:rFonts w:ascii="Arial" w:cs="Arial" w:eastAsia="Arial" w:hAnsi="Arial"/>
          <w:b/>
          <w:bCs/>
          <w:sz w:val="20"/>
          <w:szCs w:val="20"/>
        </w:rPr>
        <w:t xml:space="preserve">Etiqueta: </w:t>
      </w:r>
      <w:r>
        <w:rPr>
          <w:rFonts w:ascii="Arial" w:cs="Arial" w:eastAsia="Arial" w:hAnsi="Arial"/>
          <w:color w:val="534AB7"/>
          <w:sz w:val="20"/>
          <w:szCs w:val="20"/>
        </w:rPr>
        <w:t xml:space="preserve">Segmento 1 de 5</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Qué significa estar bien</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Una pregunta que parece sencilla. La dificultad aparece cuando se intenta responderla con honestidad.</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Salud mental: una pregunta sobre nuestra época · Abril 2026</w:t>
      </w:r>
    </w:p>
    <w:p>
      <w:pPr>
        <w:pBdr>
          <w:bottom w:val="single" w:color="CCCCCC" w:sz="4" w:space="1"/>
        </w:pBdr>
        <w:spacing w:after="200" w:before="0"/>
      </w:pPr>
    </w:p>
    <w:p>
      <w:pPr>
        <w:spacing w:after="80" w:before="300"/>
      </w:pPr>
      <w:r>
        <w:rPr>
          <w:rFonts w:ascii="Arial" w:cs="Arial" w:eastAsia="Arial" w:hAnsi="Arial"/>
          <w:b/>
          <w:bCs/>
          <w:color w:val="26215C"/>
          <w:sz w:val="24"/>
          <w:szCs w:val="24"/>
        </w:rPr>
        <w:t xml:space="preserve">Placa 2</w:t>
      </w:r>
    </w:p>
    <w:p>
      <w:pPr>
        <w:spacing w:after="80"/>
      </w:pPr>
      <w:r>
        <w:rPr>
          <w:rFonts w:ascii="Arial" w:cs="Arial" w:eastAsia="Arial" w:hAnsi="Arial"/>
          <w:b/>
          <w:bCs/>
          <w:sz w:val="20"/>
          <w:szCs w:val="20"/>
        </w:rPr>
        <w:t xml:space="preserve">Etiqueta: </w:t>
      </w:r>
      <w:r>
        <w:rPr>
          <w:rFonts w:ascii="Arial" w:cs="Arial" w:eastAsia="Arial" w:hAnsi="Arial"/>
          <w:color w:val="534AB7"/>
          <w:sz w:val="20"/>
          <w:szCs w:val="20"/>
        </w:rPr>
        <w:t xml:space="preserve">La zona intermedia</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El malestar que no tiene nombre claro</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No todo lo que incomoda es una enfermedad. No todo lo que se nombra como malestar merece ese nombre. Entre el bienestar y la clínica existe un territorio amplio que rara vez se piensa con precisión.</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1 · La escena cotidiana</w:t>
      </w:r>
    </w:p>
    <w:p>
      <w:pPr>
        <w:pBdr>
          <w:bottom w:val="single" w:color="CCCCCC" w:sz="4" w:space="1"/>
        </w:pBdr>
        <w:spacing w:after="200" w:before="0"/>
      </w:pPr>
    </w:p>
    <w:p>
      <w:pPr>
        <w:spacing w:after="80" w:before="300"/>
      </w:pPr>
      <w:r>
        <w:rPr>
          <w:rFonts w:ascii="Arial" w:cs="Arial" w:eastAsia="Arial" w:hAnsi="Arial"/>
          <w:b/>
          <w:bCs/>
          <w:color w:val="26215C"/>
          <w:sz w:val="24"/>
          <w:szCs w:val="24"/>
        </w:rPr>
        <w:t xml:space="preserve">Placa 3</w:t>
      </w:r>
    </w:p>
    <w:p>
      <w:pPr>
        <w:spacing w:after="80"/>
      </w:pPr>
      <w:r>
        <w:rPr>
          <w:rFonts w:ascii="Arial" w:cs="Arial" w:eastAsia="Arial" w:hAnsi="Arial"/>
          <w:b/>
          <w:bCs/>
          <w:sz w:val="20"/>
          <w:szCs w:val="20"/>
        </w:rPr>
        <w:t xml:space="preserve">Etiqueta: </w:t>
      </w:r>
      <w:r>
        <w:rPr>
          <w:rFonts w:ascii="Arial" w:cs="Arial" w:eastAsia="Arial" w:hAnsi="Arial"/>
          <w:color w:val="534AB7"/>
          <w:sz w:val="20"/>
          <w:szCs w:val="20"/>
        </w:rPr>
        <w:t xml:space="preserve">Tres categorías operativas</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Malestar, trastorno, enfermedad</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La distinción no es ontológica sino clínica: sirve para orientar la respuesta, no para etiquetar a las personas. Lo que separa los tres no es la intensidad del sufrimiento, sino el tipo de intervención que cada uno reclama.</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2 · Encuadre conceptual</w:t>
      </w:r>
    </w:p>
    <w:p>
      <w:pPr>
        <w:pBdr>
          <w:bottom w:val="single" w:color="CCCCCC" w:sz="4" w:space="1"/>
        </w:pBdr>
        <w:spacing w:after="200" w:before="0"/>
      </w:pPr>
    </w:p>
    <w:p>
      <w:pPr>
        <w:spacing w:after="80" w:before="300"/>
      </w:pPr>
      <w:r>
        <w:rPr>
          <w:rFonts w:ascii="Arial" w:cs="Arial" w:eastAsia="Arial" w:hAnsi="Arial"/>
          <w:b/>
          <w:bCs/>
          <w:color w:val="26215C"/>
          <w:sz w:val="24"/>
          <w:szCs w:val="24"/>
        </w:rPr>
        <w:t xml:space="preserve">Placa 4</w:t>
      </w:r>
    </w:p>
    <w:p>
      <w:pPr>
        <w:spacing w:after="80"/>
      </w:pPr>
      <w:r>
        <w:rPr>
          <w:rFonts w:ascii="Arial" w:cs="Arial" w:eastAsia="Arial" w:hAnsi="Arial"/>
          <w:b/>
          <w:bCs/>
          <w:sz w:val="20"/>
          <w:szCs w:val="20"/>
        </w:rPr>
        <w:t xml:space="preserve">Etiqueta: </w:t>
      </w:r>
      <w:r>
        <w:rPr>
          <w:rFonts w:ascii="Arial" w:cs="Arial" w:eastAsia="Arial" w:hAnsi="Arial"/>
          <w:color w:val="534AB7"/>
          <w:sz w:val="20"/>
          <w:szCs w:val="20"/>
        </w:rPr>
        <w:t xml:space="preserve">Canguilhem</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Lo normal no es un promedio. Es una capacidad.</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El filósofo Georges Canguilhem argumentó en 1943 que la salud no es un estado fijo sino la capacidad de instalar nuevas normas cuando las circunstancias cambian. No hay mente normal en abstracto — hay modos de vida y una capacidad, más o menos lograda, de habitarlos.</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Canguilhem · Lo normal y lo patológico (1943)</w:t>
      </w:r>
    </w:p>
    <w:p>
      <w:pPr>
        <w:pBdr>
          <w:bottom w:val="single" w:color="CCCCCC" w:sz="4" w:space="1"/>
        </w:pBdr>
        <w:spacing w:after="200" w:before="0"/>
      </w:pPr>
    </w:p>
    <w:p>
      <w:pPr>
        <w:spacing w:after="80" w:before="300"/>
      </w:pPr>
      <w:r>
        <w:rPr>
          <w:rFonts w:ascii="Arial" w:cs="Arial" w:eastAsia="Arial" w:hAnsi="Arial"/>
          <w:b/>
          <w:bCs/>
          <w:color w:val="26215C"/>
          <w:sz w:val="24"/>
          <w:szCs w:val="24"/>
        </w:rPr>
        <w:t xml:space="preserve">Placa 5</w:t>
      </w:r>
    </w:p>
    <w:p>
      <w:pPr>
        <w:spacing w:after="80"/>
      </w:pPr>
      <w:r>
        <w:rPr>
          <w:rFonts w:ascii="Arial" w:cs="Arial" w:eastAsia="Arial" w:hAnsi="Arial"/>
          <w:b/>
          <w:bCs/>
          <w:sz w:val="20"/>
          <w:szCs w:val="20"/>
        </w:rPr>
        <w:t xml:space="preserve">Etiqueta: </w:t>
      </w:r>
      <w:r>
        <w:rPr>
          <w:rFonts w:ascii="Arial" w:cs="Arial" w:eastAsia="Arial" w:hAnsi="Arial"/>
          <w:color w:val="534AB7"/>
          <w:sz w:val="20"/>
          <w:szCs w:val="20"/>
        </w:rPr>
        <w:t xml:space="preserve">Horwitz y Wakefield</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La tristeza con causa y la melancolía sin ella</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Durante dos mil años la medicina distinguió entre la tristeza producida por una pérdida y la melancolía que brota desde dentro. El DSM-III colapsó esa distinción al adoptar criterios puramente sintomáticos. Horwitz y Wakefield documentan las consecuencias de ese giro.</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Horwitz &amp; Wakefield · The Loss of Sadness (2007)</w:t>
      </w:r>
    </w:p>
    <w:p>
      <w:pPr>
        <w:pBdr>
          <w:bottom w:val="single" w:color="CCCCCC" w:sz="4" w:space="1"/>
        </w:pBdr>
        <w:spacing w:after="200" w:before="0"/>
      </w:pPr>
    </w:p>
    <w:p>
      <w:pPr>
        <w:spacing w:after="80" w:before="300"/>
      </w:pPr>
      <w:r>
        <w:rPr>
          <w:rFonts w:ascii="Arial" w:cs="Arial" w:eastAsia="Arial" w:hAnsi="Arial"/>
          <w:b/>
          <w:bCs/>
          <w:color w:val="26215C"/>
          <w:sz w:val="24"/>
          <w:szCs w:val="24"/>
        </w:rPr>
        <w:t xml:space="preserve">Placa 6</w:t>
      </w:r>
    </w:p>
    <w:p>
      <w:pPr>
        <w:spacing w:after="80"/>
      </w:pPr>
      <w:r>
        <w:rPr>
          <w:rFonts w:ascii="Arial" w:cs="Arial" w:eastAsia="Arial" w:hAnsi="Arial"/>
          <w:b/>
          <w:bCs/>
          <w:sz w:val="20"/>
          <w:szCs w:val="20"/>
        </w:rPr>
        <w:t xml:space="preserve">Etiqueta: </w:t>
      </w:r>
      <w:r>
        <w:rPr>
          <w:rFonts w:ascii="Arial" w:cs="Arial" w:eastAsia="Arial" w:hAnsi="Arial"/>
          <w:color w:val="534AB7"/>
          <w:sz w:val="20"/>
          <w:szCs w:val="20"/>
        </w:rPr>
        <w:t xml:space="preserve">Allen Frances</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La crítica desde adentro</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Frances presidió el grupo de trabajo del DSM-IV. En 2013 advirtió que el DSM-5 amplió umbrales diagnósticos hasta incorporar rabietas infantiles, olvidos del envejecimiento y duelos prolongados. Lo llama inflación diagnóstica — y señala que deteriora la integridad del proyecto clínico que defiende.</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Allen Frances · Saving Normal (2013)</w:t>
      </w:r>
    </w:p>
    <w:p>
      <w:pPr>
        <w:pBdr>
          <w:bottom w:val="single" w:color="CCCCCC" w:sz="4" w:space="1"/>
        </w:pBdr>
        <w:spacing w:after="200" w:before="0"/>
      </w:pPr>
    </w:p>
    <w:p>
      <w:pPr>
        <w:spacing w:after="80" w:before="300"/>
      </w:pPr>
      <w:r>
        <w:rPr>
          <w:rFonts w:ascii="Arial" w:cs="Arial" w:eastAsia="Arial" w:hAnsi="Arial"/>
          <w:b/>
          <w:bCs/>
          <w:color w:val="26215C"/>
          <w:sz w:val="24"/>
          <w:szCs w:val="24"/>
        </w:rPr>
        <w:t xml:space="preserve">Placa 7 — Cierre</w:t>
      </w:r>
    </w:p>
    <w:p>
      <w:pPr>
        <w:spacing w:after="80"/>
      </w:pPr>
      <w:r>
        <w:rPr>
          <w:rFonts w:ascii="Arial" w:cs="Arial" w:eastAsia="Arial" w:hAnsi="Arial"/>
          <w:b/>
          <w:bCs/>
          <w:sz w:val="20"/>
          <w:szCs w:val="20"/>
        </w:rPr>
        <w:t xml:space="preserve">Etiqueta: </w:t>
      </w:r>
      <w:r>
        <w:rPr>
          <w:rFonts w:ascii="Arial" w:cs="Arial" w:eastAsia="Arial" w:hAnsi="Arial"/>
          <w:color w:val="534AB7"/>
          <w:sz w:val="20"/>
          <w:szCs w:val="20"/>
        </w:rPr>
        <w:t xml:space="preserve">La pregunta que queda abierta</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Si lo biológico, lo biográfico y lo cultural se entretejen — la cultura misma condiciona lo que reconocemos como enfermedad</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Esta pregunta no es retórica. Tiene consecuencias directas sobre qué diagnósticos viajan entre culturas, cuáles se quedan, y qué se pierde en la traducción. El segmento 2 la recorre.</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Pregunta de cierre · abre el segmento 2</w:t>
      </w:r>
    </w:p>
    <w:p>
      <w:pPr>
        <w:pBdr>
          <w:bottom w:val="single" w:color="CCCCCC" w:sz="4" w:space="1"/>
        </w:pBdr>
        <w:spacing w:after="200" w:before="0"/>
      </w:pPr>
    </w:p>
    <w:p>
      <w:pPr>
        <w:spacing w:after="80" w:before="300"/>
      </w:pPr>
      <w:r>
        <w:rPr>
          <w:rFonts w:ascii="Arial" w:cs="Arial" w:eastAsia="Arial" w:hAnsi="Arial"/>
          <w:b/>
          <w:bCs/>
          <w:color w:val="26215C"/>
          <w:sz w:val="24"/>
          <w:szCs w:val="24"/>
        </w:rPr>
        <w:t xml:space="preserve">Placa 8 — CTA</w:t>
      </w:r>
    </w:p>
    <w:p>
      <w:pPr>
        <w:spacing w:after="80"/>
      </w:pPr>
      <w:r>
        <w:rPr>
          <w:rFonts w:ascii="Arial" w:cs="Arial" w:eastAsia="Arial" w:hAnsi="Arial"/>
          <w:b/>
          <w:bCs/>
          <w:sz w:val="20"/>
          <w:szCs w:val="20"/>
        </w:rPr>
        <w:t xml:space="preserve">Etiqueta: </w:t>
      </w:r>
      <w:r>
        <w:rPr>
          <w:rFonts w:ascii="Arial" w:cs="Arial" w:eastAsia="Arial" w:hAnsi="Arial"/>
          <w:color w:val="534AB7"/>
          <w:sz w:val="20"/>
          <w:szCs w:val="20"/>
        </w:rPr>
        <w:t xml:space="preserve">Artículo completo</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Este segmento es el primero de cinco.</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El artículo recorre cultura, historia del malestar, estructura subjetiva y respuesta interdisciplinaria — con la misma arquitectura en cada parte. Disponible en saludmentalcostarica.com</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Salud mental: una pregunta sobre nuestra época · Abril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2026-04-18T01:54:48.042Z</dcterms:created>
  <dcterms:modified xsi:type="dcterms:W3CDTF">2026-04-18T01:54:48.043Z</dcterms:modified>
</cp:coreProperties>
</file>

<file path=docProps/custom.xml><?xml version="1.0" encoding="utf-8"?>
<Properties xmlns="http://schemas.openxmlformats.org/officeDocument/2006/custom-properties" xmlns:vt="http://schemas.openxmlformats.org/officeDocument/2006/docPropsVTypes"/>
</file>