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Carrusel 2 — El problema del relativismo</w:t>
      </w:r>
    </w:p>
    <w:p>
      <w:pPr>
        <w:spacing w:after="400"/>
      </w:pPr>
      <w:r>
        <w:rPr>
          <w:rFonts w:ascii="Arial" w:cs="Arial" w:eastAsia="Arial" w:hAnsi="Arial"/>
          <w:color w:val="888888"/>
          <w:sz w:val="20"/>
          <w:szCs w:val="20"/>
        </w:rPr>
        <w:t xml:space="preserve">Serie: Salud mental: una pregunta sobre nuestra época</w:t>
      </w:r>
    </w:p>
    <w:p>
      <w:pPr>
        <w:spacing w:after="80" w:before="300"/>
      </w:pPr>
      <w:r>
        <w:rPr>
          <w:rFonts w:ascii="Arial" w:cs="Arial" w:eastAsia="Arial" w:hAnsi="Arial"/>
          <w:b/>
          <w:bCs/>
          <w:color w:val="085041"/>
          <w:sz w:val="24"/>
          <w:szCs w:val="24"/>
        </w:rPr>
        <w:t xml:space="preserve">Placa 1 — Portada</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Segmento 2 de 5</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El problema del relativismo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 manera en que sufrimos depende de dónde y cuándo nacimos? Y si es así, ¿qué consecuencias tiene eso para quien intenta ayudar?</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2</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Idiomas del malestar</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Decir "tener nervios" en Costa Rica no es lo mismo que decir "crisis de ansiedad" en una clínica</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Cada cultura tiene su propio vocabulario para nombrar el sufrimiento. Ese vocabulario no es solo una manera de hablar: abre ciertos caminos de ayuda y cierra otros. Trasladar a una persona de un idioma cultural a otro sin advertirlo es ya una intervención — con efectos reales.</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1 · La escena cotidiana</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3</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Idiomas culturales de malestar</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El susto, el hikikomori, los nervios: no son curiosidades folclóricas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Son formas socialmente reconocidas de pedir ayuda y recibirla. Una comunidad que los comprende sabe cómo responder. Una clínica que los desconoce puede escuchar la misma palabra que el paciente pronuncia y entenderla en otro idioma.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2 · Encuadre conceptual</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4</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El error de categoría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Cuando el instrumento de medida no corresponde a lo que intenta medir</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Aplicar categorías diagnósticas de una cultura a sujetos de otra sin preguntar si corresponden puede producir "casos" que son artefactos del instrumento, no realidades de la persona. Los estudios epidemiológicos transculturales han tenido que revisar su diseño a partir de este problema.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Tensión especializada · Kleinman (1988)</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5</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Dos tipos de relativismo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Reconocer que los vocabularios varían no obliga a decir que todos son igualmente útiles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relativismo descriptivo constata que distintas culturas organizan el sufrimiento de maneras distintas — eso está documentado. El normativo concluye que ningún modo puede evaluarse desde fuera. La trampa es saltar del primero al segundo sin examinarlo.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Tensión especializada</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6</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La bisagra clínica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La traducción entre el idioma en que la persona vive su sufrimiento y el idioma en que la clínica lo nombra es un trabajo, no un automatismo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 clínica responsable hace ese trabajo. Aprende a escuchar el idioma cultural, lo traduce al vocabulario profesional, y devuelve la traducción en términos que la persona pueda recibir sin sentirse extranjera en su propio sufrimiento.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4 · Síntesis · Byron Good (1994)</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7 — Cierre</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La pregunta que queda abierta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Los idiomas del sufrimiento no son solo espaciales. También son históricos.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 melancolía que describía Burton en 1621 no es exactamente la depresión del DSM. Los nervios de hace cien años no son los nervios postpandemia. Cada época produce sus formas preferidas de sufrir — y sus maneras de responder a ellas. El segmento 3 recorre esa historia.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Pregunta de cierre · abre el segmento 3</w:t>
      </w:r>
    </w:p>
    <w:p>
      <w:pPr>
        <w:pBdr>
          <w:bottom w:val="single" w:color="CCCCCC" w:sz="4" w:space="1"/>
        </w:pBdr>
        <w:spacing w:after="200" w:before="0"/>
      </w:pPr>
    </w:p>
    <w:p>
      <w:pPr>
        <w:spacing w:after="80" w:before="300"/>
      </w:pPr>
      <w:r>
        <w:rPr>
          <w:rFonts w:ascii="Arial" w:cs="Arial" w:eastAsia="Arial" w:hAnsi="Arial"/>
          <w:b/>
          <w:bCs/>
          <w:color w:val="085041"/>
          <w:sz w:val="24"/>
          <w:szCs w:val="24"/>
        </w:rPr>
        <w:t xml:space="preserve">Placa 8 — CTA</w:t>
      </w:r>
    </w:p>
    <w:p>
      <w:pPr>
        <w:spacing w:after="80"/>
      </w:pPr>
      <w:r>
        <w:rPr>
          <w:rFonts w:ascii="Arial" w:cs="Arial" w:eastAsia="Arial" w:hAnsi="Arial"/>
          <w:b/>
          <w:bCs/>
          <w:sz w:val="20"/>
          <w:szCs w:val="20"/>
        </w:rPr>
        <w:t xml:space="preserve">Etiqueta: </w:t>
      </w:r>
      <w:r>
        <w:rPr>
          <w:rFonts w:ascii="Arial" w:cs="Arial" w:eastAsia="Arial" w:hAnsi="Arial"/>
          <w:color w:val="0F6E56"/>
          <w:sz w:val="20"/>
          <w:szCs w:val="20"/>
        </w:rPr>
        <w:t xml:space="preserve">Artículo completo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Este es el segundo de cinco segmentos.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artículo completo continúa con la historia del malestar, la pregunta por nuestra época, y la respuesta interdisciplinaria. Disponible en saludmentalcostarica.com</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2026-04-18T02:00:32.347Z</dcterms:created>
  <dcterms:modified xsi:type="dcterms:W3CDTF">2026-04-18T02:00:32.347Z</dcterms:modified>
</cp:coreProperties>
</file>

<file path=docProps/custom.xml><?xml version="1.0" encoding="utf-8"?>
<Properties xmlns="http://schemas.openxmlformats.org/officeDocument/2006/custom-properties" xmlns:vt="http://schemas.openxmlformats.org/officeDocument/2006/docPropsVTypes"/>
</file>