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Carrusel 3 — Historia del malestar y sus tratamientos</w:t>
      </w:r>
    </w:p>
    <w:p>
      <w:pPr>
        <w:spacing w:after="400"/>
      </w:pPr>
      <w:r>
        <w:rPr>
          <w:rFonts w:ascii="Arial" w:cs="Arial" w:eastAsia="Arial" w:hAnsi="Arial"/>
          <w:color w:val="888888"/>
          <w:sz w:val="20"/>
          <w:szCs w:val="20"/>
        </w:rPr>
        <w:t xml:space="preserve">Serie: Salud mental: una pregunta sobre nuestra época</w:t>
      </w:r>
    </w:p>
    <w:p>
      <w:pPr>
        <w:spacing w:after="80" w:before="300"/>
      </w:pPr>
      <w:r>
        <w:rPr>
          <w:rFonts w:ascii="Arial" w:cs="Arial" w:eastAsia="Arial" w:hAnsi="Arial"/>
          <w:b/>
          <w:bCs/>
          <w:color w:val="712B13"/>
          <w:sz w:val="24"/>
          <w:szCs w:val="24"/>
        </w:rPr>
        <w:t xml:space="preserve">Placa 1 — Portada</w:t>
      </w:r>
    </w:p>
    <w:p>
      <w:pPr>
        <w:spacing w:after="80"/>
      </w:pPr>
      <w:r>
        <w:rPr>
          <w:rFonts w:ascii="Arial" w:cs="Arial" w:eastAsia="Arial" w:hAnsi="Arial"/>
          <w:b/>
          <w:bCs/>
          <w:sz w:val="20"/>
          <w:szCs w:val="20"/>
        </w:rPr>
        <w:t xml:space="preserve">Etiqueta: </w:t>
      </w:r>
      <w:r>
        <w:rPr>
          <w:rFonts w:ascii="Arial" w:cs="Arial" w:eastAsia="Arial" w:hAnsi="Arial"/>
          <w:color w:val="993C1D"/>
          <w:sz w:val="20"/>
          <w:szCs w:val="20"/>
        </w:rPr>
        <w:t xml:space="preserve">Segmento 3 de 5</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Breve historia del malestar y sus tratamientos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Nadie escoge el vocabulario en que le toca sufrir. Cada generación recibe el que su época pone a disposición.</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p>
      <w:pPr>
        <w:pBdr>
          <w:bottom w:val="single" w:color="CCCCCC" w:sz="4" w:space="1"/>
        </w:pBdr>
        <w:spacing w:after="200" w:before="0"/>
      </w:pPr>
    </w:p>
    <w:p>
      <w:pPr>
        <w:spacing w:after="80" w:before="300"/>
      </w:pPr>
      <w:r>
        <w:rPr>
          <w:rFonts w:ascii="Arial" w:cs="Arial" w:eastAsia="Arial" w:hAnsi="Arial"/>
          <w:b/>
          <w:bCs/>
          <w:color w:val="712B13"/>
          <w:sz w:val="24"/>
          <w:szCs w:val="24"/>
        </w:rPr>
        <w:t xml:space="preserve">Placa 2</w:t>
      </w:r>
    </w:p>
    <w:p>
      <w:pPr>
        <w:spacing w:after="80"/>
      </w:pPr>
      <w:r>
        <w:rPr>
          <w:rFonts w:ascii="Arial" w:cs="Arial" w:eastAsia="Arial" w:hAnsi="Arial"/>
          <w:b/>
          <w:bCs/>
          <w:sz w:val="20"/>
          <w:szCs w:val="20"/>
        </w:rPr>
        <w:t xml:space="preserve">Etiqueta: </w:t>
      </w:r>
      <w:r>
        <w:rPr>
          <w:rFonts w:ascii="Arial" w:cs="Arial" w:eastAsia="Arial" w:hAnsi="Arial"/>
          <w:color w:val="993C1D"/>
          <w:sz w:val="20"/>
          <w:szCs w:val="20"/>
        </w:rPr>
        <w:t xml:space="preserve">Cuatro generaciones</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Bisabuela, abuela, madre, hija: cuatro maneras de nombrar aproximadamente el mismo malestar</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Té de toronjil y reposo. Meprobamato en los cincuenta. Terapia cognitiva en los ochenta. ISRS y una aplicación hoy. Ninguna de esas respuestas es más "correcta" — cada una fue lo que la época tenía para ofrecer. Entender eso permite mirarlas con menos solemnidad y más criterio.</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1 · La escena cotidiana</w:t>
      </w:r>
    </w:p>
    <w:p>
      <w:pPr>
        <w:pBdr>
          <w:bottom w:val="single" w:color="CCCCCC" w:sz="4" w:space="1"/>
        </w:pBdr>
        <w:spacing w:after="200" w:before="0"/>
      </w:pPr>
    </w:p>
    <w:p>
      <w:pPr>
        <w:spacing w:after="80" w:before="300"/>
      </w:pPr>
      <w:r>
        <w:rPr>
          <w:rFonts w:ascii="Arial" w:cs="Arial" w:eastAsia="Arial" w:hAnsi="Arial"/>
          <w:b/>
          <w:bCs/>
          <w:color w:val="712B13"/>
          <w:sz w:val="24"/>
          <w:szCs w:val="24"/>
        </w:rPr>
        <w:t xml:space="preserve">Placa 3</w:t>
      </w:r>
    </w:p>
    <w:p>
      <w:pPr>
        <w:spacing w:after="80"/>
      </w:pPr>
      <w:r>
        <w:rPr>
          <w:rFonts w:ascii="Arial" w:cs="Arial" w:eastAsia="Arial" w:hAnsi="Arial"/>
          <w:b/>
          <w:bCs/>
          <w:sz w:val="20"/>
          <w:szCs w:val="20"/>
        </w:rPr>
        <w:t xml:space="preserve">Etiqueta: </w:t>
      </w:r>
      <w:r>
        <w:rPr>
          <w:rFonts w:ascii="Arial" w:cs="Arial" w:eastAsia="Arial" w:hAnsi="Arial"/>
          <w:color w:val="993C1D"/>
          <w:sz w:val="20"/>
          <w:szCs w:val="20"/>
        </w:rPr>
        <w:t xml:space="preserve">Del humorismo a la farmacología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Dos mil años de intentos de explicar — y tratar — el sufrimiento mental</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La melancolía como exceso de bilis negra. El asilo ilustrado como alternativa al encierro. El psicoanálisis como escucha de lo inconsciente. El fármaco como intervención sobre la neuroquímica. Cada paradigma capta una dimensión real. Ninguno la capta toda.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2 · Encuadre histórico</w:t>
      </w:r>
    </w:p>
    <w:p>
      <w:pPr>
        <w:pBdr>
          <w:bottom w:val="single" w:color="CCCCCC" w:sz="4" w:space="1"/>
        </w:pBdr>
        <w:spacing w:after="200" w:before="0"/>
      </w:pPr>
    </w:p>
    <w:p>
      <w:pPr>
        <w:spacing w:after="80" w:before="300"/>
      </w:pPr>
      <w:r>
        <w:rPr>
          <w:rFonts w:ascii="Arial" w:cs="Arial" w:eastAsia="Arial" w:hAnsi="Arial"/>
          <w:b/>
          <w:bCs/>
          <w:color w:val="712B13"/>
          <w:sz w:val="24"/>
          <w:szCs w:val="24"/>
        </w:rPr>
        <w:t xml:space="preserve">Placa 4</w:t>
      </w:r>
    </w:p>
    <w:p>
      <w:pPr>
        <w:spacing w:after="80"/>
      </w:pPr>
      <w:r>
        <w:rPr>
          <w:rFonts w:ascii="Arial" w:cs="Arial" w:eastAsia="Arial" w:hAnsi="Arial"/>
          <w:b/>
          <w:bCs/>
          <w:sz w:val="20"/>
          <w:szCs w:val="20"/>
        </w:rPr>
        <w:t xml:space="preserve">Etiqueta: </w:t>
      </w:r>
      <w:r>
        <w:rPr>
          <w:rFonts w:ascii="Arial" w:cs="Arial" w:eastAsia="Arial" w:hAnsi="Arial"/>
          <w:color w:val="993C1D"/>
          <w:sz w:val="20"/>
          <w:szCs w:val="20"/>
        </w:rPr>
        <w:t xml:space="preserve">La historia incómoda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Los tratamientos son también tecnologías de poder</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Asignan roles, distribuyen autoridad, producen formas de entenderse a uno mismo. Esto no es necesariamente siniestro — pero conviene saberlo al entrar en una consulta. Foucault lo formuló con más fuerza que nadie: la modernidad no descubrió a los enfermos mentales, los inventó al separarlos del flujo de la vida social.</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3 · Foucault · Historia de la locura (1961)</w:t>
      </w:r>
    </w:p>
    <w:p>
      <w:pPr>
        <w:pBdr>
          <w:bottom w:val="single" w:color="CCCCCC" w:sz="4" w:space="1"/>
        </w:pBdr>
        <w:spacing w:after="200" w:before="0"/>
      </w:pPr>
    </w:p>
    <w:p>
      <w:pPr>
        <w:spacing w:after="80" w:before="300"/>
      </w:pPr>
      <w:r>
        <w:rPr>
          <w:rFonts w:ascii="Arial" w:cs="Arial" w:eastAsia="Arial" w:hAnsi="Arial"/>
          <w:b/>
          <w:bCs/>
          <w:color w:val="712B13"/>
          <w:sz w:val="24"/>
          <w:szCs w:val="24"/>
        </w:rPr>
        <w:t xml:space="preserve">Placa 5</w:t>
      </w:r>
    </w:p>
    <w:p>
      <w:pPr>
        <w:spacing w:after="80"/>
      </w:pPr>
      <w:r>
        <w:rPr>
          <w:rFonts w:ascii="Arial" w:cs="Arial" w:eastAsia="Arial" w:hAnsi="Arial"/>
          <w:b/>
          <w:bCs/>
          <w:sz w:val="20"/>
          <w:szCs w:val="20"/>
        </w:rPr>
        <w:t xml:space="preserve">Etiqueta: </w:t>
      </w:r>
      <w:r>
        <w:rPr>
          <w:rFonts w:ascii="Arial" w:cs="Arial" w:eastAsia="Arial" w:hAnsi="Arial"/>
          <w:color w:val="993C1D"/>
          <w:sz w:val="20"/>
          <w:szCs w:val="20"/>
        </w:rPr>
        <w:t xml:space="preserve">La crítica al fármaco</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A medida que el uso de psicofármacos se expandió, las tasas de discapacidad por trastorno mental no cayeron — subieron</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Whitaker documentó esta paradoja con estudios de seguimiento a largo plazo. La evidencia que cita ha sido discutida. Pero el fenómeno que señala — desconexión entre crecimiento del tratamiento y mejora de los resultados poblacionales — pide explicación.</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3 · Whitaker · Anatomy of an Epidemic (2010)</w:t>
      </w:r>
    </w:p>
    <w:p>
      <w:pPr>
        <w:pBdr>
          <w:bottom w:val="single" w:color="CCCCCC" w:sz="4" w:space="1"/>
        </w:pBdr>
        <w:spacing w:after="200" w:before="0"/>
      </w:pPr>
    </w:p>
    <w:p>
      <w:pPr>
        <w:spacing w:after="80" w:before="300"/>
      </w:pPr>
      <w:r>
        <w:rPr>
          <w:rFonts w:ascii="Arial" w:cs="Arial" w:eastAsia="Arial" w:hAnsi="Arial"/>
          <w:b/>
          <w:bCs/>
          <w:color w:val="712B13"/>
          <w:sz w:val="24"/>
          <w:szCs w:val="24"/>
        </w:rPr>
        <w:t xml:space="preserve">Placa 6</w:t>
      </w:r>
    </w:p>
    <w:p>
      <w:pPr>
        <w:spacing w:after="80"/>
      </w:pPr>
      <w:r>
        <w:rPr>
          <w:rFonts w:ascii="Arial" w:cs="Arial" w:eastAsia="Arial" w:hAnsi="Arial"/>
          <w:b/>
          <w:bCs/>
          <w:sz w:val="20"/>
          <w:szCs w:val="20"/>
        </w:rPr>
        <w:t xml:space="preserve">Etiqueta: </w:t>
      </w:r>
      <w:r>
        <w:rPr>
          <w:rFonts w:ascii="Arial" w:cs="Arial" w:eastAsia="Arial" w:hAnsi="Arial"/>
          <w:color w:val="993C1D"/>
          <w:sz w:val="20"/>
          <w:szCs w:val="20"/>
        </w:rPr>
        <w:t xml:space="preserve">Tres lecciones, no una moraleja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La historia no deja una conclusión única. Deja herramientas.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Todo tratamiento es históricamente situado. Los tratamientos son también tecnologías de poder — no necesariamente siniestras, pero reales. Y ningún paradigma es enteramente equivocado ni enteramente verdadero. La pregunta no es cuál reina, sino cómo se articulan.</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4 · Síntesis</w:t>
      </w:r>
    </w:p>
    <w:p>
      <w:pPr>
        <w:pBdr>
          <w:bottom w:val="single" w:color="CCCCCC" w:sz="4" w:space="1"/>
        </w:pBdr>
        <w:spacing w:after="200" w:before="0"/>
      </w:pPr>
    </w:p>
    <w:p>
      <w:pPr>
        <w:spacing w:after="80" w:before="300"/>
      </w:pPr>
      <w:r>
        <w:rPr>
          <w:rFonts w:ascii="Arial" w:cs="Arial" w:eastAsia="Arial" w:hAnsi="Arial"/>
          <w:b/>
          <w:bCs/>
          <w:color w:val="712B13"/>
          <w:sz w:val="24"/>
          <w:szCs w:val="24"/>
        </w:rPr>
        <w:t xml:space="preserve">Placa 7 — Cierre</w:t>
      </w:r>
    </w:p>
    <w:p>
      <w:pPr>
        <w:spacing w:after="80"/>
      </w:pPr>
      <w:r>
        <w:rPr>
          <w:rFonts w:ascii="Arial" w:cs="Arial" w:eastAsia="Arial" w:hAnsi="Arial"/>
          <w:b/>
          <w:bCs/>
          <w:sz w:val="20"/>
          <w:szCs w:val="20"/>
        </w:rPr>
        <w:t xml:space="preserve">Etiqueta: </w:t>
      </w:r>
      <w:r>
        <w:rPr>
          <w:rFonts w:ascii="Arial" w:cs="Arial" w:eastAsia="Arial" w:hAnsi="Arial"/>
          <w:color w:val="993C1D"/>
          <w:sz w:val="20"/>
          <w:szCs w:val="20"/>
        </w:rPr>
        <w:t xml:space="preserve">La pregunta que queda abierta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Si los tratamientos cambian con la época, algo tendrá que decirse también sobre los trastornos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¿Es la depresión de hoy la melancolía de antes? ¿Son el agotamiento, la autoexigencia y el vacío variaciones de cuadros antiguos — o síntomas de algo propiamente nuestro? El segmento 4 entra por esa puerta.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Pregunta de cierre · abre el segmento 4</w:t>
      </w:r>
    </w:p>
    <w:p>
      <w:pPr>
        <w:pBdr>
          <w:bottom w:val="single" w:color="CCCCCC" w:sz="4" w:space="1"/>
        </w:pBdr>
        <w:spacing w:after="200" w:before="0"/>
      </w:pPr>
    </w:p>
    <w:p>
      <w:pPr>
        <w:spacing w:after="80" w:before="300"/>
      </w:pPr>
      <w:r>
        <w:rPr>
          <w:rFonts w:ascii="Arial" w:cs="Arial" w:eastAsia="Arial" w:hAnsi="Arial"/>
          <w:b/>
          <w:bCs/>
          <w:color w:val="712B13"/>
          <w:sz w:val="24"/>
          <w:szCs w:val="24"/>
        </w:rPr>
        <w:t xml:space="preserve">Placa 8 — CTA</w:t>
      </w:r>
    </w:p>
    <w:p>
      <w:pPr>
        <w:spacing w:after="80"/>
      </w:pPr>
      <w:r>
        <w:rPr>
          <w:rFonts w:ascii="Arial" w:cs="Arial" w:eastAsia="Arial" w:hAnsi="Arial"/>
          <w:b/>
          <w:bCs/>
          <w:sz w:val="20"/>
          <w:szCs w:val="20"/>
        </w:rPr>
        <w:t xml:space="preserve">Etiqueta: </w:t>
      </w:r>
      <w:r>
        <w:rPr>
          <w:rFonts w:ascii="Arial" w:cs="Arial" w:eastAsia="Arial" w:hAnsi="Arial"/>
          <w:color w:val="993C1D"/>
          <w:sz w:val="20"/>
          <w:szCs w:val="20"/>
        </w:rPr>
        <w:t xml:space="preserve">Artículo completo</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Este es el tercero de cinco segmentos.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El artículo continúa con la pregunta por nuestra época y la respuesta interdisciplinaria. Disponible en saludmentalcostarica.com</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2026-04-18T02:02:12.493Z</dcterms:created>
  <dcterms:modified xsi:type="dcterms:W3CDTF">2026-04-18T02:02:12.494Z</dcterms:modified>
</cp:coreProperties>
</file>

<file path=docProps/custom.xml><?xml version="1.0" encoding="utf-8"?>
<Properties xmlns="http://schemas.openxmlformats.org/officeDocument/2006/custom-properties" xmlns:vt="http://schemas.openxmlformats.org/officeDocument/2006/docPropsVTypes"/>
</file>