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Carrusel 5 — La respuesta interdisciplinaria</w:t>
      </w:r>
    </w:p>
    <w:p>
      <w:pPr>
        <w:spacing w:after="400"/>
      </w:pPr>
      <w:r>
        <w:rPr>
          <w:rFonts w:ascii="Arial" w:cs="Arial" w:eastAsia="Arial" w:hAnsi="Arial"/>
          <w:color w:val="888888"/>
          <w:sz w:val="20"/>
          <w:szCs w:val="20"/>
        </w:rPr>
        <w:t xml:space="preserve">Serie: Salud mental: una pregunta sobre nuestra época</w:t>
      </w:r>
    </w:p>
    <w:p>
      <w:pPr>
        <w:spacing w:after="80" w:before="300"/>
      </w:pPr>
      <w:r>
        <w:rPr>
          <w:rFonts w:ascii="Arial" w:cs="Arial" w:eastAsia="Arial" w:hAnsi="Arial"/>
          <w:b/>
          <w:bCs/>
          <w:color w:val="0C447C"/>
          <w:sz w:val="24"/>
          <w:szCs w:val="24"/>
        </w:rPr>
        <w:t xml:space="preserve">Placa 1 — Portada</w:t>
      </w:r>
    </w:p>
    <w:p>
      <w:pPr>
        <w:spacing w:after="80"/>
      </w:pPr>
      <w:r>
        <w:rPr>
          <w:rFonts w:ascii="Arial" w:cs="Arial" w:eastAsia="Arial" w:hAnsi="Arial"/>
          <w:b/>
          <w:bCs/>
          <w:sz w:val="20"/>
          <w:szCs w:val="20"/>
        </w:rPr>
        <w:t xml:space="preserve">Etiqueta: </w:t>
      </w:r>
      <w:r>
        <w:rPr>
          <w:rFonts w:ascii="Arial" w:cs="Arial" w:eastAsia="Arial" w:hAnsi="Arial"/>
          <w:color w:val="185FA5"/>
          <w:sz w:val="20"/>
          <w:szCs w:val="20"/>
        </w:rPr>
        <w:t xml:space="preserve">Segmento 5 de 5</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La respuesta interdisciplinaria</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Cinco segmentos mostraron que el malestar se teje en capas. Este último pregunta qué forma de cuidado puede sostener esa complejidad sin simplificarla.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p>
      <w:pPr>
        <w:pBdr>
          <w:bottom w:val="single" w:color="CCCCCC" w:sz="4" w:space="1"/>
        </w:pBdr>
        <w:spacing w:after="200" w:before="0"/>
      </w:pPr>
    </w:p>
    <w:p>
      <w:pPr>
        <w:spacing w:after="80" w:before="300"/>
      </w:pPr>
      <w:r>
        <w:rPr>
          <w:rFonts w:ascii="Arial" w:cs="Arial" w:eastAsia="Arial" w:hAnsi="Arial"/>
          <w:b/>
          <w:bCs/>
          <w:color w:val="0C447C"/>
          <w:sz w:val="24"/>
          <w:szCs w:val="24"/>
        </w:rPr>
        <w:t xml:space="preserve">Placa 2</w:t>
      </w:r>
    </w:p>
    <w:p>
      <w:pPr>
        <w:spacing w:after="80"/>
      </w:pPr>
      <w:r>
        <w:rPr>
          <w:rFonts w:ascii="Arial" w:cs="Arial" w:eastAsia="Arial" w:hAnsi="Arial"/>
          <w:b/>
          <w:bCs/>
          <w:sz w:val="20"/>
          <w:szCs w:val="20"/>
        </w:rPr>
        <w:t xml:space="preserve">Etiqueta: </w:t>
      </w:r>
      <w:r>
        <w:rPr>
          <w:rFonts w:ascii="Arial" w:cs="Arial" w:eastAsia="Arial" w:hAnsi="Arial"/>
          <w:color w:val="185FA5"/>
          <w:sz w:val="20"/>
          <w:szCs w:val="20"/>
        </w:rPr>
        <w:t xml:space="preserve">La escena concreta</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Un joven de veintidós años que lleva semanas sin salir del cuarto</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La familia consigue que acepte ir a una consulta. ¿Adónde llevarlo? El médico general puede descartar causas orgánicas. El psiquiatra puede proponer un diagnóstico y un fármaco. La psicóloga puede recibirlo en terapia. Cada una de esas puertas ofrece una mirada. Ninguna, por sí sola, es suficiente.</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1 · La escena cotidiana</w:t>
      </w:r>
    </w:p>
    <w:p>
      <w:pPr>
        <w:pBdr>
          <w:bottom w:val="single" w:color="CCCCCC" w:sz="4" w:space="1"/>
        </w:pBdr>
        <w:spacing w:after="200" w:before="0"/>
      </w:pPr>
    </w:p>
    <w:p>
      <w:pPr>
        <w:spacing w:after="80" w:before="300"/>
      </w:pPr>
      <w:r>
        <w:rPr>
          <w:rFonts w:ascii="Arial" w:cs="Arial" w:eastAsia="Arial" w:hAnsi="Arial"/>
          <w:b/>
          <w:bCs/>
          <w:color w:val="0C447C"/>
          <w:sz w:val="24"/>
          <w:szCs w:val="24"/>
        </w:rPr>
        <w:t xml:space="preserve">Placa 3</w:t>
      </w:r>
    </w:p>
    <w:p>
      <w:pPr>
        <w:spacing w:after="80"/>
      </w:pPr>
      <w:r>
        <w:rPr>
          <w:rFonts w:ascii="Arial" w:cs="Arial" w:eastAsia="Arial" w:hAnsi="Arial"/>
          <w:b/>
          <w:bCs/>
          <w:sz w:val="20"/>
          <w:szCs w:val="20"/>
        </w:rPr>
        <w:t xml:space="preserve">Etiqueta: </w:t>
      </w:r>
      <w:r>
        <w:rPr>
          <w:rFonts w:ascii="Arial" w:cs="Arial" w:eastAsia="Arial" w:hAnsi="Arial"/>
          <w:color w:val="185FA5"/>
          <w:sz w:val="20"/>
          <w:szCs w:val="20"/>
        </w:rPr>
        <w:t xml:space="preserve">Tres palabras distintas</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Multidisciplinario, interdisciplinario, transdisciplinario no significan lo mismo</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Multidisciplinario: varios profesionales atienden al mismo paciente sin hablarse entre sí. Interdisciplinario: comparten el caso, toman decisiones conjuntas, articulan sus intervenciones. Transdisciplinario: los límites entre disciplinas se vuelven porosos. La diferencia no es semántica — determina qué tan coherente resulta el tratamiento para quien lo recibe.</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2 · Encuadre conceptual</w:t>
      </w:r>
    </w:p>
    <w:p>
      <w:pPr>
        <w:pBdr>
          <w:bottom w:val="single" w:color="CCCCCC" w:sz="4" w:space="1"/>
        </w:pBdr>
        <w:spacing w:after="200" w:before="0"/>
      </w:pPr>
    </w:p>
    <w:p>
      <w:pPr>
        <w:spacing w:after="80" w:before="300"/>
      </w:pPr>
      <w:r>
        <w:rPr>
          <w:rFonts w:ascii="Arial" w:cs="Arial" w:eastAsia="Arial" w:hAnsi="Arial"/>
          <w:b/>
          <w:bCs/>
          <w:color w:val="0C447C"/>
          <w:sz w:val="24"/>
          <w:szCs w:val="24"/>
        </w:rPr>
        <w:t xml:space="preserve">Placa 4</w:t>
      </w:r>
    </w:p>
    <w:p>
      <w:pPr>
        <w:spacing w:after="80"/>
      </w:pPr>
      <w:r>
        <w:rPr>
          <w:rFonts w:ascii="Arial" w:cs="Arial" w:eastAsia="Arial" w:hAnsi="Arial"/>
          <w:b/>
          <w:bCs/>
          <w:sz w:val="20"/>
          <w:szCs w:val="20"/>
        </w:rPr>
        <w:t xml:space="preserve">Etiqueta: </w:t>
      </w:r>
      <w:r>
        <w:rPr>
          <w:rFonts w:ascii="Arial" w:cs="Arial" w:eastAsia="Arial" w:hAnsi="Arial"/>
          <w:color w:val="185FA5"/>
          <w:sz w:val="20"/>
          <w:szCs w:val="20"/>
        </w:rPr>
        <w:t xml:space="preserve">Lo que aporta cada quien</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Cada disciplina ve lo que las otras no ven bien</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Psiquiatría: lectura biológica, farmacología, descarte de causas orgánicas. Psicología clínica: escucha sostenida del sufrimiento, técnicas de intervención, trabajo en el tiempo. Trabajo social: las redes familiares, comunitarias e institucionales en que la persona vive. Sin ese tejido, muchos tratamientos no aterrizan.</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3 · Composición del equipo</w:t>
      </w:r>
    </w:p>
    <w:p>
      <w:pPr>
        <w:pBdr>
          <w:bottom w:val="single" w:color="CCCCCC" w:sz="4" w:space="1"/>
        </w:pBdr>
        <w:spacing w:after="200" w:before="0"/>
      </w:pPr>
    </w:p>
    <w:p>
      <w:pPr>
        <w:spacing w:after="80" w:before="300"/>
      </w:pPr>
      <w:r>
        <w:rPr>
          <w:rFonts w:ascii="Arial" w:cs="Arial" w:eastAsia="Arial" w:hAnsi="Arial"/>
          <w:b/>
          <w:bCs/>
          <w:color w:val="0C447C"/>
          <w:sz w:val="24"/>
          <w:szCs w:val="24"/>
        </w:rPr>
        <w:t xml:space="preserve">Placa 5</w:t>
      </w:r>
    </w:p>
    <w:p>
      <w:pPr>
        <w:spacing w:after="80"/>
      </w:pPr>
      <w:r>
        <w:rPr>
          <w:rFonts w:ascii="Arial" w:cs="Arial" w:eastAsia="Arial" w:hAnsi="Arial"/>
          <w:b/>
          <w:bCs/>
          <w:sz w:val="20"/>
          <w:szCs w:val="20"/>
        </w:rPr>
        <w:t xml:space="preserve">Etiqueta: </w:t>
      </w:r>
      <w:r>
        <w:rPr>
          <w:rFonts w:ascii="Arial" w:cs="Arial" w:eastAsia="Arial" w:hAnsi="Arial"/>
          <w:color w:val="185FA5"/>
          <w:sz w:val="20"/>
          <w:szCs w:val="20"/>
        </w:rPr>
        <w:t xml:space="preserve">Las tensiones reales</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El ideal interdisciplinario es fácil de enunciar. Sostenerlo tiene fricciones concretas.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Hay asimetrías de poder entre disciplinas que vienen de la historia de las profesiones. Hay tensiones epistemológicas entre el modelo biomédico y el psicosocial que no se resuelven por decreto. Y hay una restricción material: sostener un equipo articulado requiere tiempo, y ese tiempo es escaso en contextos de alta demanda. Ninguna de esas fricciones invalida el modelo — pero ignorarlas lo debilita.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3 · Tensiones especializadas</w:t>
      </w:r>
    </w:p>
    <w:p>
      <w:pPr>
        <w:pBdr>
          <w:bottom w:val="single" w:color="CCCCCC" w:sz="4" w:space="1"/>
        </w:pBdr>
        <w:spacing w:after="200" w:before="0"/>
      </w:pPr>
    </w:p>
    <w:p>
      <w:pPr>
        <w:spacing w:after="80" w:before="300"/>
      </w:pPr>
      <w:r>
        <w:rPr>
          <w:rFonts w:ascii="Arial" w:cs="Arial" w:eastAsia="Arial" w:hAnsi="Arial"/>
          <w:b/>
          <w:bCs/>
          <w:color w:val="0C447C"/>
          <w:sz w:val="24"/>
          <w:szCs w:val="24"/>
        </w:rPr>
        <w:t xml:space="preserve">Placa 6</w:t>
      </w:r>
    </w:p>
    <w:p>
      <w:pPr>
        <w:spacing w:after="80"/>
      </w:pPr>
      <w:r>
        <w:rPr>
          <w:rFonts w:ascii="Arial" w:cs="Arial" w:eastAsia="Arial" w:hAnsi="Arial"/>
          <w:b/>
          <w:bCs/>
          <w:sz w:val="20"/>
          <w:szCs w:val="20"/>
        </w:rPr>
        <w:t xml:space="preserve">Etiqueta: </w:t>
      </w:r>
      <w:r>
        <w:rPr>
          <w:rFonts w:ascii="Arial" w:cs="Arial" w:eastAsia="Arial" w:hAnsi="Arial"/>
          <w:color w:val="185FA5"/>
          <w:sz w:val="20"/>
          <w:szCs w:val="20"/>
        </w:rPr>
        <w:t xml:space="preserve">La tesis</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Estar bien, hoy, tiene al menos esta condición: no tener que enfrentar solo lo que no se puede enfrentar solo</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Un equipo interdisciplinario articulado no acumula consultas paralelas. Construye una mirada compartida capaz de sostener a la vez la herencia cultural, la historia personal, los mandatos de la época y la biología concreta de quien consulta.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Nivel 4 · Síntesis</w:t>
      </w:r>
    </w:p>
    <w:p>
      <w:pPr>
        <w:pBdr>
          <w:bottom w:val="single" w:color="CCCCCC" w:sz="4" w:space="1"/>
        </w:pBdr>
        <w:spacing w:after="200" w:before="0"/>
      </w:pPr>
    </w:p>
    <w:p>
      <w:pPr>
        <w:spacing w:after="80" w:before="300"/>
      </w:pPr>
      <w:r>
        <w:rPr>
          <w:rFonts w:ascii="Arial" w:cs="Arial" w:eastAsia="Arial" w:hAnsi="Arial"/>
          <w:b/>
          <w:bCs/>
          <w:color w:val="0C447C"/>
          <w:sz w:val="24"/>
          <w:szCs w:val="24"/>
        </w:rPr>
        <w:t xml:space="preserve">Placa 7 — Cierre de serie</w:t>
      </w:r>
    </w:p>
    <w:p>
      <w:pPr>
        <w:spacing w:after="80"/>
      </w:pPr>
      <w:r>
        <w:rPr>
          <w:rFonts w:ascii="Arial" w:cs="Arial" w:eastAsia="Arial" w:hAnsi="Arial"/>
          <w:b/>
          <w:bCs/>
          <w:sz w:val="20"/>
          <w:szCs w:val="20"/>
        </w:rPr>
        <w:t xml:space="preserve">Etiqueta: </w:t>
      </w:r>
      <w:r>
        <w:rPr>
          <w:rFonts w:ascii="Arial" w:cs="Arial" w:eastAsia="Arial" w:hAnsi="Arial"/>
          <w:color w:val="185FA5"/>
          <w:sz w:val="20"/>
          <w:szCs w:val="20"/>
        </w:rPr>
        <w:t xml:space="preserve">Cierre de serie</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Cinco segmentos. Una pregunta sostenida desde ángulos distintos.</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Qué significa estar bien. Cómo la cultura moldea el sufrimiento. Qué hicimos históricamente con él. Qué produce nuestra época en particular. Y qué forma de cuidado puede responder a esa complejidad. El artículo completo articula todo eso en una sola lectura.</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Fin de la serie · Salud mental: una pregunta sobre nuestra época</w:t>
      </w:r>
    </w:p>
    <w:p>
      <w:pPr>
        <w:pBdr>
          <w:bottom w:val="single" w:color="CCCCCC" w:sz="4" w:space="1"/>
        </w:pBdr>
        <w:spacing w:after="200" w:before="0"/>
      </w:pPr>
    </w:p>
    <w:p>
      <w:pPr>
        <w:spacing w:after="80" w:before="300"/>
      </w:pPr>
      <w:r>
        <w:rPr>
          <w:rFonts w:ascii="Arial" w:cs="Arial" w:eastAsia="Arial" w:hAnsi="Arial"/>
          <w:b/>
          <w:bCs/>
          <w:color w:val="0C447C"/>
          <w:sz w:val="24"/>
          <w:szCs w:val="24"/>
        </w:rPr>
        <w:t xml:space="preserve">Placa 8 — CTA</w:t>
      </w:r>
    </w:p>
    <w:p>
      <w:pPr>
        <w:spacing w:after="80"/>
      </w:pPr>
      <w:r>
        <w:rPr>
          <w:rFonts w:ascii="Arial" w:cs="Arial" w:eastAsia="Arial" w:hAnsi="Arial"/>
          <w:b/>
          <w:bCs/>
          <w:sz w:val="20"/>
          <w:szCs w:val="20"/>
        </w:rPr>
        <w:t xml:space="preserve">Etiqueta: </w:t>
      </w:r>
      <w:r>
        <w:rPr>
          <w:rFonts w:ascii="Arial" w:cs="Arial" w:eastAsia="Arial" w:hAnsi="Arial"/>
          <w:color w:val="185FA5"/>
          <w:sz w:val="20"/>
          <w:szCs w:val="20"/>
        </w:rPr>
        <w:t xml:space="preserve">Artículo completo</w:t>
      </w:r>
    </w:p>
    <w:p>
      <w:pPr>
        <w:spacing w:after="80"/>
      </w:pPr>
      <w:r>
        <w:rPr>
          <w:rFonts w:ascii="Arial" w:cs="Arial" w:eastAsia="Arial" w:hAnsi="Arial"/>
          <w:b/>
          <w:bCs/>
          <w:sz w:val="20"/>
          <w:szCs w:val="20"/>
        </w:rPr>
        <w:t xml:space="preserve">Titular: </w:t>
      </w:r>
      <w:r>
        <w:rPr>
          <w:rFonts w:ascii="Arial" w:cs="Arial" w:eastAsia="Arial" w:hAnsi="Arial"/>
          <w:sz w:val="20"/>
          <w:szCs w:val="20"/>
        </w:rPr>
        <w:t xml:space="preserve">Disponible en saludmentalcostarica.com</w:t>
      </w:r>
    </w:p>
    <w:p>
      <w:pPr>
        <w:spacing w:after="80"/>
      </w:pPr>
      <w:r>
        <w:rPr>
          <w:rFonts w:ascii="Arial" w:cs="Arial" w:eastAsia="Arial" w:hAnsi="Arial"/>
          <w:b/>
          <w:bCs/>
          <w:sz w:val="20"/>
          <w:szCs w:val="20"/>
        </w:rPr>
        <w:t xml:space="preserve">Cuerpo: </w:t>
      </w:r>
      <w:r>
        <w:rPr>
          <w:rFonts w:ascii="Arial" w:cs="Arial" w:eastAsia="Arial" w:hAnsi="Arial"/>
          <w:sz w:val="20"/>
          <w:szCs w:val="20"/>
        </w:rPr>
        <w:t xml:space="preserve">Este artículo es el primero de una serie. Fue escrito para explicar por qué vale la pena sostener un lugar donde los saberes que rodean el malestar se hablen entre sí.</w:t>
      </w:r>
    </w:p>
    <w:p>
      <w:pPr>
        <w:spacing w:after="80"/>
      </w:pPr>
      <w:r>
        <w:rPr>
          <w:rFonts w:ascii="Arial" w:cs="Arial" w:eastAsia="Arial" w:hAnsi="Arial"/>
          <w:b/>
          <w:bCs/>
          <w:sz w:val="20"/>
          <w:szCs w:val="20"/>
        </w:rPr>
        <w:t xml:space="preserve">Pie: </w:t>
      </w:r>
      <w:r>
        <w:rPr>
          <w:rFonts w:ascii="Arial" w:cs="Arial" w:eastAsia="Arial" w:hAnsi="Arial"/>
          <w:i/>
          <w:iCs/>
          <w:color w:val="888888"/>
          <w:sz w:val="20"/>
          <w:szCs w:val="20"/>
        </w:rPr>
        <w:t xml:space="preserve">Salud mental: una pregunta sobre nuestra época · Abril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2026-04-18T02:07:32.586Z</dcterms:created>
  <dcterms:modified xsi:type="dcterms:W3CDTF">2026-04-18T02:07:32.587Z</dcterms:modified>
</cp:coreProperties>
</file>

<file path=docProps/custom.xml><?xml version="1.0" encoding="utf-8"?>
<Properties xmlns="http://schemas.openxmlformats.org/officeDocument/2006/custom-properties" xmlns:vt="http://schemas.openxmlformats.org/officeDocument/2006/docPropsVTypes"/>
</file>