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55">
      <w:pPr>
        <w:pStyle w:val="Heading1"/>
        <w:numPr>
          <w:ilvl w:val="1"/>
          <w:numId w:val="58"/>
        </w:numPr>
        <w:ind w:left="850.3937007874017" w:hanging="708.661417322835"/>
        <w:rPr/>
      </w:pPr>
      <w:bookmarkStart w:colFirst="0" w:colLast="0" w:name="_heading=h.bhl7eu3by2iz" w:id="54"/>
      <w:bookmarkEnd w:id="54"/>
      <w:r w:rsidDel="00000000" w:rsidR="00000000" w:rsidRPr="00000000">
        <w:rPr>
          <w:rtl w:val="0"/>
        </w:rPr>
        <w:t xml:space="preserve">Reglas del Árbitro de Emergencia </w:t>
      </w:r>
    </w:p>
    <w:p w:rsidR="00000000" w:rsidDel="00000000" w:rsidP="00000000" w:rsidRDefault="00000000" w:rsidRPr="00000000" w14:paraId="00000256">
      <w:pPr>
        <w:pStyle w:val="Heading2"/>
        <w:spacing w:after="240" w:before="0" w:lineRule="auto"/>
        <w:ind w:left="2552" w:hanging="1701"/>
        <w:jc w:val="both"/>
        <w:rPr/>
      </w:pPr>
      <w:bookmarkStart w:colFirst="0" w:colLast="0" w:name="_heading=h.l7fs5878qz70" w:id="55"/>
      <w:bookmarkEnd w:id="55"/>
      <w:r w:rsidDel="00000000" w:rsidR="00000000" w:rsidRPr="00000000">
        <w:rPr>
          <w:rtl w:val="0"/>
        </w:rPr>
        <w:t xml:space="preserve">Artículo 1.- Solicitud</w:t>
      </w:r>
    </w:p>
    <w:p w:rsidR="00000000" w:rsidDel="00000000" w:rsidP="00000000" w:rsidRDefault="00000000" w:rsidRPr="00000000" w14:paraId="00000257">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240" w:before="0" w:line="240" w:lineRule="auto"/>
        <w:ind w:left="1134"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parte que desee iniciar un procedimiento ante un Árbitro de Emergencia de conformidad con lo previsto en el Reglamento de Arbitraje debe presentar su petición de medidas de emergencia al Centro.</w:t>
      </w:r>
    </w:p>
    <w:p w:rsidR="00000000" w:rsidDel="00000000" w:rsidP="00000000" w:rsidRDefault="00000000" w:rsidRPr="00000000" w14:paraId="00000258">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240" w:before="0" w:line="240" w:lineRule="auto"/>
        <w:ind w:left="1134"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petición deberá presentarse en un número de copias suficiente para que cada parte reciba una copia, más una copia para el árbitro de emergencia, y otra para el Centro.</w:t>
      </w:r>
    </w:p>
    <w:p w:rsidR="00000000" w:rsidDel="00000000" w:rsidP="00000000" w:rsidRDefault="00000000" w:rsidRPr="00000000" w14:paraId="0000025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240" w:before="0" w:line="240" w:lineRule="auto"/>
        <w:ind w:left="1134"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petición de medidas de emergencia debe contener:</w:t>
      </w:r>
    </w:p>
    <w:p w:rsidR="00000000" w:rsidDel="00000000" w:rsidP="00000000" w:rsidRDefault="00000000" w:rsidRPr="00000000" w14:paraId="0000025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0" w:line="276" w:lineRule="auto"/>
        <w:ind w:left="1701" w:right="0" w:hanging="425.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nombre completo, descripción, dirección y otra información de contacto de cada una de las partes y de sus representantes.</w:t>
      </w:r>
    </w:p>
    <w:p w:rsidR="00000000" w:rsidDel="00000000" w:rsidP="00000000" w:rsidRDefault="00000000" w:rsidRPr="00000000" w14:paraId="0000025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0" w:line="276" w:lineRule="auto"/>
        <w:ind w:left="1701" w:right="0" w:hanging="425.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descripción de las circunstancias que dieron origen a la Petición y de la controversia subyacente sometida o a ser sometida a arbitraje;</w:t>
      </w:r>
    </w:p>
    <w:p w:rsidR="00000000" w:rsidDel="00000000" w:rsidP="00000000" w:rsidRDefault="00000000" w:rsidRPr="00000000" w14:paraId="0000025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0" w:line="267" w:lineRule="auto"/>
        <w:ind w:left="1701" w:right="0" w:hanging="425.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medida cautelar o provisional que se solicita.</w:t>
      </w:r>
    </w:p>
    <w:p w:rsidR="00000000" w:rsidDel="00000000" w:rsidP="00000000" w:rsidRDefault="00000000" w:rsidRPr="00000000" w14:paraId="0000025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39" w:line="276" w:lineRule="auto"/>
        <w:ind w:left="1701" w:right="0" w:hanging="425.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razones por las cuales el peticionario requiere que se dicte medidas cautelares urgentes, que no pueden esperar hasta la constitución del Tribunal Arbitral.</w:t>
      </w:r>
    </w:p>
    <w:p w:rsidR="00000000" w:rsidDel="00000000" w:rsidP="00000000" w:rsidRDefault="00000000" w:rsidRPr="00000000" w14:paraId="0000025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0" w:line="276" w:lineRule="auto"/>
        <w:ind w:left="1701" w:right="0" w:hanging="425.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copia del convenio arbitral sobre cuya base se ha de resolver la controversia y del contrato del cual deriva dicha controversia.</w:t>
      </w:r>
    </w:p>
    <w:p w:rsidR="00000000" w:rsidDel="00000000" w:rsidP="00000000" w:rsidRDefault="00000000" w:rsidRPr="00000000" w14:paraId="0000025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240" w:before="0" w:line="240" w:lineRule="auto"/>
        <w:ind w:left="1134"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parte peticionante puede presentar con su solicitud cualquier documento o información que estime pertinente para la debida y efectiva apreciación de la medida solicitada.</w:t>
      </w:r>
    </w:p>
    <w:p w:rsidR="00000000" w:rsidDel="00000000" w:rsidP="00000000" w:rsidRDefault="00000000" w:rsidRPr="00000000" w14:paraId="0000026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240" w:before="0" w:line="240" w:lineRule="auto"/>
        <w:ind w:left="1134"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petición debe ser acompañada de la constancia de pago del arancel correspondiente.</w:t>
      </w:r>
    </w:p>
    <w:p w:rsidR="00000000" w:rsidDel="00000000" w:rsidP="00000000" w:rsidRDefault="00000000" w:rsidRPr="00000000" w14:paraId="00000261">
      <w:pPr>
        <w:pStyle w:val="Heading2"/>
        <w:spacing w:after="240" w:before="239" w:lineRule="auto"/>
        <w:ind w:left="2552" w:hanging="1701"/>
        <w:jc w:val="both"/>
        <w:rPr/>
      </w:pPr>
      <w:bookmarkStart w:colFirst="0" w:colLast="0" w:name="_heading=h.kyly4ccpt483" w:id="56"/>
      <w:bookmarkEnd w:id="56"/>
      <w:r w:rsidDel="00000000" w:rsidR="00000000" w:rsidRPr="00000000">
        <w:rPr>
          <w:rtl w:val="0"/>
        </w:rPr>
        <w:t xml:space="preserve">Artículo 2.- Notificación</w:t>
      </w:r>
    </w:p>
    <w:p w:rsidR="00000000" w:rsidDel="00000000" w:rsidP="00000000" w:rsidRDefault="00000000" w:rsidRPr="00000000" w14:paraId="0000026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Sólo podrán ser sometidas ante el Árbitro de Emergencia las medidas cautelares o provisionales vinculadas a la ejecución de cartas fianza u otras garantías.</w:t>
      </w:r>
    </w:p>
    <w:p w:rsidR="00000000" w:rsidDel="00000000" w:rsidP="00000000" w:rsidRDefault="00000000" w:rsidRPr="00000000" w14:paraId="0000026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49"/>
        </w:tabs>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Consejo podrá agregar nuevos supuestos mediante Directiva.</w:t>
      </w:r>
    </w:p>
    <w:p w:rsidR="00000000" w:rsidDel="00000000" w:rsidP="00000000" w:rsidRDefault="00000000" w:rsidRPr="00000000" w14:paraId="0000026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49"/>
        </w:tabs>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Secretaría notifica la petición y los documentos que la acompañen a la otra parte o a las otras partes tan pronto como sea posible, siempre que la parte peticionante haya cumplido con lo dispuesto en el artículo 9(1) de este Apéndice y aprecie la existencia de un convenio arbitral que haga referencia a un Reglamento Arbitral o a la administración de este Centro, a menos que considere más apropiado proceder a la constitución del Tribunal Arbitral para la subsecuente remisión de la solicitud respectiva.</w:t>
      </w:r>
    </w:p>
    <w:p w:rsidR="00000000" w:rsidDel="00000000" w:rsidP="00000000" w:rsidRDefault="00000000" w:rsidRPr="00000000" w14:paraId="0000026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49"/>
        </w:tabs>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de que no se haya cumplido con el artículo 9(1) de este Apéndice, la Secretaría rechaza la petición, sin perjuicio del derecho de la parte interesada de volver a presentar otra petición posteriormente.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pStyle w:val="Heading2"/>
        <w:spacing w:after="240" w:before="239" w:lineRule="auto"/>
        <w:ind w:left="2552" w:hanging="1701"/>
        <w:jc w:val="both"/>
        <w:rPr/>
      </w:pPr>
      <w:bookmarkStart w:colFirst="0" w:colLast="0" w:name="_heading=h.6cgmpoasjzln" w:id="57"/>
      <w:bookmarkEnd w:id="57"/>
      <w:r w:rsidDel="00000000" w:rsidR="00000000" w:rsidRPr="00000000">
        <w:rPr>
          <w:rtl w:val="0"/>
        </w:rPr>
        <w:t xml:space="preserve">Artículo 3.- Nombramiento</w:t>
      </w:r>
    </w:p>
    <w:p w:rsidR="00000000" w:rsidDel="00000000" w:rsidP="00000000" w:rsidRDefault="00000000" w:rsidRPr="00000000" w14:paraId="0000026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 </w:t>
      </w:r>
      <w:r w:rsidDel="00000000" w:rsidR="00000000" w:rsidRPr="00000000">
        <w:rPr>
          <w:rtl w:val="0"/>
        </w:rPr>
        <w:t xml:space="preserve">Árbitro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 Emergencia nombra a un Árbitro de Emergencia seleccionado entre los que integran el Registro de Árbitros de Emergencia en el plazo de dos (2) días luego de la recepción de la petición.</w:t>
      </w:r>
    </w:p>
    <w:p w:rsidR="00000000" w:rsidDel="00000000" w:rsidP="00000000" w:rsidRDefault="00000000" w:rsidRPr="00000000" w14:paraId="0000026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vez nombrado el Árbitro de Emergencia, la Secretaría le remite el expediente arbitral cautelar al árbitro y notifica a las partes del nombramiento. Desde ese momento, todas las comunicaciones escritas de las partes deben dirigirse al Árbitro de Emergencia, con copia al Centro y a las otras partes. De igual manera, debe copiarse al Centro toda comunicación dirigida por el Árbitro de Emergencia a las partes.</w:t>
      </w:r>
    </w:p>
    <w:p w:rsidR="00000000" w:rsidDel="00000000" w:rsidP="00000000" w:rsidRDefault="00000000" w:rsidRPr="00000000" w14:paraId="0000026A">
      <w:pPr>
        <w:spacing w:after="240" w:line="276" w:lineRule="auto"/>
        <w:rPr/>
      </w:pPr>
      <w:r w:rsidDel="00000000" w:rsidR="00000000" w:rsidRPr="00000000">
        <w:rPr>
          <w:rtl w:val="0"/>
        </w:rPr>
      </w:r>
    </w:p>
    <w:p w:rsidR="00000000" w:rsidDel="00000000" w:rsidP="00000000" w:rsidRDefault="00000000" w:rsidRPr="00000000" w14:paraId="0000026B">
      <w:pPr>
        <w:pStyle w:val="Heading2"/>
        <w:spacing w:after="240" w:before="239" w:lineRule="auto"/>
        <w:ind w:left="2552" w:hanging="1701"/>
        <w:jc w:val="both"/>
        <w:rPr/>
      </w:pPr>
      <w:bookmarkStart w:colFirst="0" w:colLast="0" w:name="_heading=h.iufkjwecg684" w:id="58"/>
      <w:bookmarkEnd w:id="58"/>
      <w:r w:rsidDel="00000000" w:rsidR="00000000" w:rsidRPr="00000000">
        <w:rPr>
          <w:rtl w:val="0"/>
        </w:rPr>
        <w:t xml:space="preserve">Artículo 4.- Deberes del Árbitro de Emergencia</w:t>
      </w:r>
    </w:p>
    <w:p w:rsidR="00000000" w:rsidDel="00000000" w:rsidP="00000000" w:rsidRDefault="00000000" w:rsidRPr="00000000" w14:paraId="0000026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de Emergencia debe ser independiente e imparcial respecto de las partes.</w:t>
      </w:r>
    </w:p>
    <w:p w:rsidR="00000000" w:rsidDel="00000000" w:rsidP="00000000" w:rsidRDefault="00000000" w:rsidRPr="00000000" w14:paraId="0000026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1" w:line="278.0000000000000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Cuando sea nombrado, el Árbitro de Emergencia debe aceptar el encargo y suscribir una declaración de independencia e imparcialidad, la cual es enviada por la Secretaría a las partes.</w:t>
      </w:r>
    </w:p>
    <w:p w:rsidR="00000000" w:rsidDel="00000000" w:rsidP="00000000" w:rsidRDefault="00000000" w:rsidRPr="00000000" w14:paraId="0000026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245"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de emergencia no deberá actuar como árbitro en ningún arbitraje relacionado con la controversia que haya dado origen a la Petición.</w:t>
      </w:r>
    </w:p>
    <w:p w:rsidR="00000000" w:rsidDel="00000000" w:rsidP="00000000" w:rsidRDefault="00000000" w:rsidRPr="00000000" w14:paraId="0000026F">
      <w:pPr>
        <w:spacing w:after="240" w:before="245" w:line="276" w:lineRule="auto"/>
        <w:rPr/>
      </w:pPr>
      <w:r w:rsidDel="00000000" w:rsidR="00000000" w:rsidRPr="00000000">
        <w:rPr>
          <w:rtl w:val="0"/>
        </w:rPr>
      </w:r>
    </w:p>
    <w:p w:rsidR="00000000" w:rsidDel="00000000" w:rsidP="00000000" w:rsidRDefault="00000000" w:rsidRPr="00000000" w14:paraId="00000270">
      <w:pPr>
        <w:pStyle w:val="Heading2"/>
        <w:spacing w:after="240" w:before="239" w:lineRule="auto"/>
        <w:ind w:left="2552" w:hanging="1701"/>
        <w:jc w:val="both"/>
        <w:rPr/>
      </w:pPr>
      <w:bookmarkStart w:colFirst="0" w:colLast="0" w:name="_heading=h.ioqf3gcbi23l" w:id="59"/>
      <w:bookmarkEnd w:id="59"/>
      <w:r w:rsidDel="00000000" w:rsidR="00000000" w:rsidRPr="00000000">
        <w:rPr>
          <w:rtl w:val="0"/>
        </w:rPr>
        <w:t xml:space="preserve">Artículo 5.- Recusación</w:t>
      </w:r>
    </w:p>
    <w:p w:rsidR="00000000" w:rsidDel="00000000" w:rsidP="00000000" w:rsidRDefault="00000000" w:rsidRPr="00000000" w14:paraId="0000027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Cualquiera de las partes puede recusar al Árbitro de Emergencia cuando exista duda justificada sobre su imparcialidad o independencia.</w:t>
      </w:r>
    </w:p>
    <w:p w:rsidR="00000000" w:rsidDel="00000000" w:rsidP="00000000" w:rsidRDefault="00000000" w:rsidRPr="00000000" w14:paraId="0000027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recusación debe presentarse en el Centro dentro de los dos (2) días después de recibida la notificación del nombramiento del Árbitro de Emergencia, o de que se tomó conocimiento de los hechos en que se funda, si dicho conocimiento es posterior a aquella notificación.</w:t>
      </w:r>
    </w:p>
    <w:p w:rsidR="00000000" w:rsidDel="00000000" w:rsidP="00000000" w:rsidRDefault="00000000" w:rsidRPr="00000000" w14:paraId="0000027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Recibida la recusación, la Secretaría debe dar al Árbitro de Emergencia y a las otras partes un plazo de tres días para formular sus comentarios.</w:t>
      </w:r>
    </w:p>
    <w:p w:rsidR="00000000" w:rsidDel="00000000" w:rsidP="00000000" w:rsidRDefault="00000000" w:rsidRPr="00000000" w14:paraId="0000027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Cumplido este trámite, con o sin los comentarios del Árbitro de Emergencia o de las otras partes, la recusación es decidida por el Consejo en un plazo no mayor a dos días, no estando obligado a expresar la causa o las causas de su decisión.</w:t>
      </w:r>
    </w:p>
    <w:p w:rsidR="00000000" w:rsidDel="00000000" w:rsidP="00000000" w:rsidRDefault="00000000" w:rsidRPr="00000000" w14:paraId="00000275">
      <w:pPr>
        <w:spacing w:after="240" w:line="276" w:lineRule="auto"/>
        <w:rPr/>
      </w:pPr>
      <w:r w:rsidDel="00000000" w:rsidR="00000000" w:rsidRPr="00000000">
        <w:rPr>
          <w:rtl w:val="0"/>
        </w:rPr>
      </w:r>
    </w:p>
    <w:p w:rsidR="00000000" w:rsidDel="00000000" w:rsidP="00000000" w:rsidRDefault="00000000" w:rsidRPr="00000000" w14:paraId="00000276">
      <w:pPr>
        <w:pStyle w:val="Heading2"/>
        <w:spacing w:after="240" w:before="239" w:lineRule="auto"/>
        <w:ind w:left="2552" w:hanging="1701"/>
        <w:jc w:val="both"/>
        <w:rPr/>
      </w:pPr>
      <w:bookmarkStart w:colFirst="0" w:colLast="0" w:name="_heading=h.xbety0kexcna" w:id="60"/>
      <w:bookmarkEnd w:id="60"/>
      <w:r w:rsidDel="00000000" w:rsidR="00000000" w:rsidRPr="00000000">
        <w:rPr>
          <w:rtl w:val="0"/>
        </w:rPr>
        <w:t xml:space="preserve">Artículo 6.- Sede del Procedimiento</w:t>
      </w:r>
    </w:p>
    <w:p w:rsidR="00000000" w:rsidDel="00000000" w:rsidP="00000000" w:rsidRDefault="00000000" w:rsidRPr="00000000" w14:paraId="0000027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sede del procedimiento del Árbitro de Emergencia es aquella acordada por las partes como sede del arbitraje. A falta de dicho acuerdo, el Centro fijará la sede del procedimiento.</w:t>
      </w:r>
    </w:p>
    <w:p w:rsidR="00000000" w:rsidDel="00000000" w:rsidP="00000000" w:rsidRDefault="00000000" w:rsidRPr="00000000" w14:paraId="0000027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Toda reunión o comunicación relativa al procedimiento de árbitro de emergencia puede llevarse a cabo en cualquier lugar y por cualquier medio que este considere idóneo, incluyendo conferencias telefónicas o videoconferencias.</w:t>
      </w:r>
    </w:p>
    <w:p w:rsidR="00000000" w:rsidDel="00000000" w:rsidP="00000000" w:rsidRDefault="00000000" w:rsidRPr="00000000" w14:paraId="00000279">
      <w:pPr>
        <w:spacing w:after="240" w:line="276" w:lineRule="auto"/>
        <w:rPr/>
      </w:pPr>
      <w:r w:rsidDel="00000000" w:rsidR="00000000" w:rsidRPr="00000000">
        <w:rPr>
          <w:rtl w:val="0"/>
        </w:rPr>
      </w:r>
    </w:p>
    <w:p w:rsidR="00000000" w:rsidDel="00000000" w:rsidP="00000000" w:rsidRDefault="00000000" w:rsidRPr="00000000" w14:paraId="0000027A">
      <w:pPr>
        <w:pStyle w:val="Heading2"/>
        <w:spacing w:after="240" w:before="239" w:lineRule="auto"/>
        <w:ind w:left="2552" w:hanging="1701"/>
        <w:jc w:val="both"/>
        <w:rPr/>
      </w:pPr>
      <w:bookmarkStart w:colFirst="0" w:colLast="0" w:name="_heading=h.cbodcfc59dya" w:id="61"/>
      <w:bookmarkEnd w:id="61"/>
      <w:r w:rsidDel="00000000" w:rsidR="00000000" w:rsidRPr="00000000">
        <w:rPr>
          <w:rtl w:val="0"/>
        </w:rPr>
        <w:t xml:space="preserve">Artículo 7.- Medida cautelar automática dentro de otra medida cautelar</w:t>
      </w:r>
    </w:p>
    <w:p w:rsidR="00000000" w:rsidDel="00000000" w:rsidP="00000000" w:rsidRDefault="00000000" w:rsidRPr="00000000" w14:paraId="0000027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de Emergencia conduce el procedimiento de la manera que estime conveniente según la urgencia y naturaleza de la medida solicitada, resolviendo en el menor tiempo posible.</w:t>
      </w:r>
    </w:p>
    <w:p w:rsidR="00000000" w:rsidDel="00000000" w:rsidP="00000000" w:rsidRDefault="00000000" w:rsidRPr="00000000" w14:paraId="0000027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de Emergencia debe poner en conocimiento la solicitud cautelar conjuntamente con la aceptación del cargo de árbitro de emergencia a la contraparte; otorgando un plazo de tres (3) días hábiles para que presente por escrito lo que considere pertinente a su derecho, y de ser el caso, convocando a una audiencia única; ordenando que la contraparte, en tanto no se emita una decisión del Árbitro de Emergencia, se abstenga de realizar cualquier acto que interfiera con la decisión del Árbitro de Emergencia.</w:t>
      </w:r>
    </w:p>
    <w:p w:rsidR="00000000" w:rsidDel="00000000" w:rsidP="00000000" w:rsidRDefault="00000000" w:rsidRPr="00000000" w14:paraId="0000027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de Emergencia debe velar por que cada parte tenga una oportunidad razonable de presentar su posición en lo concerniente a la petición de medidas de emergencia.</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pStyle w:val="Heading2"/>
        <w:spacing w:after="240" w:before="239" w:lineRule="auto"/>
        <w:ind w:left="2552" w:hanging="1701"/>
        <w:jc w:val="both"/>
        <w:rPr/>
      </w:pPr>
      <w:bookmarkStart w:colFirst="0" w:colLast="0" w:name="_heading=h.1y25uiq02r07" w:id="62"/>
      <w:bookmarkEnd w:id="62"/>
      <w:r w:rsidDel="00000000" w:rsidR="00000000" w:rsidRPr="00000000">
        <w:rPr>
          <w:rtl w:val="0"/>
        </w:rPr>
        <w:t xml:space="preserve">Artículo 8.- Decisión sobre la medida cautelar</w:t>
      </w:r>
    </w:p>
    <w:p w:rsidR="00000000" w:rsidDel="00000000" w:rsidP="00000000" w:rsidRDefault="00000000" w:rsidRPr="00000000" w14:paraId="0000028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82"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decisión debe ser dictada y notificada a las partes dentro de cinco (5) días contados a partir del vencimiento del plazo del escrito de contestación de la solicitud cautelar o de llevado a cabo la Audiencia, lo que ocurra último. Este plazo puede ser ampliado por acuerdo de las partes, por solicitud motivada del Árbitro de Emergencia o cuando el Centro lo considere conveniente.</w:t>
      </w:r>
    </w:p>
    <w:p w:rsidR="00000000" w:rsidDel="00000000" w:rsidP="00000000" w:rsidRDefault="00000000" w:rsidRPr="00000000" w14:paraId="0000028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Toda decisión sobre medidas cautelares de emergencia debe ser motivada, fechada y firmada por el Árbitro de Emergencia, y consignar el lugar de su emisión.</w:t>
      </w:r>
    </w:p>
    <w:p w:rsidR="00000000" w:rsidDel="00000000" w:rsidP="00000000" w:rsidRDefault="00000000" w:rsidRPr="00000000" w14:paraId="0000028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decisión expresa si la petición de medida de emergencia es admisible y si el Árbitro de Emergencia tiene competencia para otorgar las medidas requeridas por la parte solicitante.</w:t>
      </w:r>
    </w:p>
    <w:p w:rsidR="00000000" w:rsidDel="00000000" w:rsidP="00000000" w:rsidRDefault="00000000" w:rsidRPr="00000000" w14:paraId="0000028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de Emergencia puede, en su decisión, someter el otorgamiento de la medida solicitada a las condiciones que estime apropiadas, incluyendo la constitución de garantías.</w:t>
      </w:r>
    </w:p>
    <w:p w:rsidR="00000000" w:rsidDel="00000000" w:rsidP="00000000" w:rsidRDefault="00000000" w:rsidRPr="00000000" w14:paraId="0000028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notificación de la decisión se efectúa por cualquier medio que garantice una recepción pronta y segura por las partes.</w:t>
      </w:r>
    </w:p>
    <w:p w:rsidR="00000000" w:rsidDel="00000000" w:rsidP="00000000" w:rsidRDefault="00000000" w:rsidRPr="00000000" w14:paraId="0000028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line="278.0000000000000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Toda medida de emergencia, a solicitud fundada de cualquiera de las partes, puede ser revocada o modificada por el Árbitro de Emergencia si no se ha constituido el Tribunal Arbitral o por este una vez constituido.</w:t>
      </w:r>
    </w:p>
    <w:p w:rsidR="00000000" w:rsidDel="00000000" w:rsidP="00000000" w:rsidRDefault="00000000" w:rsidRPr="00000000" w14:paraId="0000028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246"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Cesa la vigencia del procedimiento ante el Árbitro de Emergencia, y la decisión deja de ser vinculante, por las siguientes causas:</w:t>
      </w:r>
    </w:p>
    <w:p w:rsidR="00000000" w:rsidDel="00000000" w:rsidP="00000000" w:rsidRDefault="00000000" w:rsidRPr="00000000" w14:paraId="0000028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240" w:before="0"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la aceptación por la Comisión de Recusación de una recusación del Árbitro de Emergencia.</w:t>
      </w:r>
    </w:p>
    <w:p w:rsidR="00000000" w:rsidDel="00000000" w:rsidP="00000000" w:rsidRDefault="00000000" w:rsidRPr="00000000" w14:paraId="0000028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240" w:before="0" w:line="276"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el desistimiento de la solicitud del arbitraje o la terminación del arbitraje antes de dictarse el laudo final.</w:t>
      </w:r>
    </w:p>
    <w:p w:rsidR="00000000" w:rsidDel="00000000" w:rsidP="00000000" w:rsidRDefault="00000000" w:rsidRPr="00000000" w14:paraId="0000028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240" w:before="0" w:line="267" w:lineRule="auto"/>
        <w:ind w:left="1843" w:right="0"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no presentarse la solicitud de arbitraje dentro de los diez (10) días siguientes a la fecha de recepción de la solicitud de medidas de emergencia, salvo que el Árbitro de Emergencia determine que se requiere un período más extenso.</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2"/>
        <w:spacing w:after="240" w:before="239" w:lineRule="auto"/>
        <w:ind w:left="2552" w:hanging="1701"/>
        <w:jc w:val="both"/>
        <w:rPr/>
      </w:pPr>
      <w:bookmarkStart w:colFirst="0" w:colLast="0" w:name="_heading=h.pxd57juaitu" w:id="63"/>
      <w:bookmarkEnd w:id="63"/>
      <w:r w:rsidDel="00000000" w:rsidR="00000000" w:rsidRPr="00000000">
        <w:rPr>
          <w:rtl w:val="0"/>
        </w:rPr>
        <w:t xml:space="preserve">Artículo 9.- Costos del Procedimiento</w:t>
      </w:r>
    </w:p>
    <w:p w:rsidR="00000000" w:rsidDel="00000000" w:rsidP="00000000" w:rsidRDefault="00000000" w:rsidRPr="00000000" w14:paraId="0000028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4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Al presentar la petición de medidas de emergencia, la parte solicitante deberá pagar los costos del procedimiento establecidos para estos efectos en la Tabla de Aranceles del Centro.</w:t>
      </w:r>
    </w:p>
    <w:p w:rsidR="00000000" w:rsidDel="00000000" w:rsidP="00000000" w:rsidRDefault="00000000" w:rsidRPr="00000000" w14:paraId="0000028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4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solicitud no es procesada ni notificada hasta que el pago de los costos haya sido recibido por la Secretaría y el Árbitro de Emergencia.</w:t>
      </w:r>
    </w:p>
    <w:p w:rsidR="00000000" w:rsidDel="00000000" w:rsidP="00000000" w:rsidRDefault="00000000" w:rsidRPr="00000000" w14:paraId="0000028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4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Comisión de </w:t>
      </w:r>
      <w:r w:rsidDel="00000000" w:rsidR="00000000" w:rsidRPr="00000000">
        <w:rPr>
          <w:rtl w:val="0"/>
        </w:rPr>
        <w:t xml:space="preserve">Árbitro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 Emergencia, en cualquier momento durante el procedimiento, puede aumentar los costos consignados en la Tabla de Aranceles del Centro, tomando en consideración la naturaleza del caso, el trabajo realizado por el Árbitro de Emergencia o la Secretaría, entre otros. Si la parte que presenta la petición no paga el costo aumentado dentro del plazo fijado por la Secretaría, la Petición será archivada.</w:t>
      </w:r>
    </w:p>
    <w:p w:rsidR="00000000" w:rsidDel="00000000" w:rsidP="00000000" w:rsidRDefault="00000000" w:rsidRPr="00000000" w14:paraId="0000028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4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decisión del Árbitro de Emergencia fijará los costos del procedimiento del árbitro de emergencia y decidirá cuál de las partes debe pagarlos o en qué proporción han de repartirse entre ellas. Para estos efectos, los costos incluyen los costos referidos en el artículo 9(1) de este Apéndice, los gastos legales y otros gastos razonables incurridos por las partes en el procedimiento de árbitro de emergencia.</w:t>
      </w:r>
    </w:p>
    <w:p w:rsidR="00000000" w:rsidDel="00000000" w:rsidP="00000000" w:rsidRDefault="00000000" w:rsidRPr="00000000" w14:paraId="0000029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4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el procedimiento de Árbitro de Emergencia no tuviese lugar de conformidad con este Reglamento de Arbitraje, o fuera terminado </w:t>
      </w:r>
      <w:r w:rsidDel="00000000" w:rsidR="00000000" w:rsidRPr="00000000">
        <w:rPr>
          <w:rtl w:val="0"/>
        </w:rPr>
        <w:t xml:space="preserve">antes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 la emisión de la decisión, el Centro determina el monto a ser reembolsado al peticionario; el monto que por concepto de arancel administrativo no se reembolsa.</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pStyle w:val="Heading2"/>
        <w:spacing w:after="240" w:before="239" w:lineRule="auto"/>
        <w:ind w:left="2552" w:hanging="1701"/>
        <w:jc w:val="both"/>
        <w:rPr/>
      </w:pPr>
      <w:bookmarkStart w:colFirst="0" w:colLast="0" w:name="_heading=h.bkfu3q44e51j" w:id="64"/>
      <w:bookmarkEnd w:id="64"/>
      <w:r w:rsidDel="00000000" w:rsidR="00000000" w:rsidRPr="00000000">
        <w:rPr>
          <w:rtl w:val="0"/>
        </w:rPr>
        <w:t xml:space="preserve">Artículo 10.- Otras cuestiones no previstas</w:t>
      </w:r>
    </w:p>
    <w:p w:rsidR="00000000" w:rsidDel="00000000" w:rsidP="00000000" w:rsidRDefault="00000000" w:rsidRPr="00000000" w14:paraId="00000293">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Toda cuestión relativa al procedimiento de Árbitro de Emergencia no prevista o no regulada por las reglas de este Apéndice o por el Reglamento, es resuelta por la Comisión de Arbitro de Emergencia, según el espíritu del Reglamento, el Estatuto y de este Apéndice.</w:t>
      </w:r>
    </w:p>
    <w:p w:rsidR="00000000" w:rsidDel="00000000" w:rsidP="00000000" w:rsidRDefault="00000000" w:rsidRPr="00000000" w14:paraId="00000294">
      <w:pPr>
        <w:spacing w:after="240" w:line="276" w:lineRule="auto"/>
        <w:rPr/>
      </w:pPr>
      <w:r w:rsidDel="00000000" w:rsidR="00000000" w:rsidRPr="00000000">
        <w:rPr>
          <w:rtl w:val="0"/>
        </w:rPr>
      </w:r>
    </w:p>
    <w:sectPr>
      <w:type w:val="continuous"/>
      <w:pgSz w:h="16840" w:w="11910" w:orient="portrait"/>
      <w:pgMar w:bottom="1417.3228346456694" w:top="1700.7874015748032" w:left="1700.7874015748032" w:right="1417.3228346456694" w:header="0" w:footer="100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o S.ebastian chuquimantari" w:id="0" w:date="2026-09-29T16:15:59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Continuara con OSCE o se cambiara a la OECE</w:t>
      </w:r>
    </w:p>
  </w:comment>
  <w:comment w:author="Alejandro S.ebastian chuquimantari" w:id="1" w:date="2026-10-06T13:49:29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Cambie esta parte porque mencionaba la confidencialidad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10" w15:done="0"/>
  <w15:commentEx w15:paraId="000004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Arial Unicode MS"/>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spacing w:line="276" w:lineRule="auto"/>
      <w:rPr>
        <w:rFonts w:ascii="Arial" w:cs="Arial" w:eastAsia="Arial" w:hAnsi="Arial"/>
        <w:sz w:val="20"/>
        <w:szCs w:val="20"/>
      </w:rPr>
    </w:pPr>
    <w:r w:rsidDel="00000000" w:rsidR="00000000" w:rsidRPr="00000000">
      <w:rPr>
        <w:rtl w:val="0"/>
      </w:rPr>
    </w:r>
  </w:p>
  <w:tbl>
    <w:tblPr>
      <w:tblStyle w:val="Table8"/>
      <w:tblW w:w="8880.0" w:type="dxa"/>
      <w:jc w:val="center"/>
      <w:tblLayout w:type="fixed"/>
      <w:tblLook w:val="0400"/>
    </w:tblPr>
    <w:tblGrid>
      <w:gridCol w:w="5535"/>
      <w:gridCol w:w="3345"/>
      <w:tblGridChange w:id="0">
        <w:tblGrid>
          <w:gridCol w:w="5535"/>
          <w:gridCol w:w="3345"/>
        </w:tblGrid>
      </w:tblGridChange>
    </w:tblGrid>
    <w:tr>
      <w:trPr>
        <w:cantSplit w:val="0"/>
        <w:tblHeader w:val="0"/>
      </w:trPr>
      <w:tc>
        <w:tcPr>
          <w:tcBorders>
            <w:top w:color="4f81bd" w:space="0" w:sz="24" w:val="single"/>
          </w:tcBorders>
          <w:shd w:fill="auto" w:val="clear"/>
          <w:vAlign w:val="center"/>
        </w:tcPr>
        <w:p w:rsidR="00000000" w:rsidDel="00000000" w:rsidP="00000000" w:rsidRDefault="00000000" w:rsidRPr="00000000" w14:paraId="0000040A">
          <w:pPr>
            <w:tabs>
              <w:tab w:val="center" w:leader="none" w:pos="4513"/>
              <w:tab w:val="right" w:leader="none" w:pos="9026"/>
            </w:tabs>
            <w:rPr>
              <w:rFonts w:ascii="Spectral" w:cs="Spectral" w:eastAsia="Spectral" w:hAnsi="Spectral"/>
              <w:b w:val="1"/>
              <w:bCs w:val="1"/>
              <w:smallCaps w:val="1"/>
              <w:color w:val="808080"/>
              <w:sz w:val="16"/>
              <w:szCs w:val="16"/>
            </w:rPr>
          </w:pPr>
          <w:r w:rsidDel="00000000" w:rsidR="00000000" w:rsidRPr="00000000">
            <w:rPr>
              <w:rFonts w:ascii="Spectral" w:cs="Spectral" w:eastAsia="Spectral" w:hAnsi="Spectral"/>
              <w:b w:val="1"/>
              <w:bCs w:val="1"/>
              <w:sz w:val="16"/>
              <w:szCs w:val="16"/>
              <w:rtl w:val="0"/>
            </w:rPr>
            <w:t xml:space="preserve">Corte Superior de Arbitraje de la Cámara de Comercio y Producción de Huancayo y de la Región Junín.</w:t>
          </w:r>
          <w:r w:rsidDel="00000000" w:rsidR="00000000" w:rsidRPr="00000000">
            <w:rPr>
              <w:rtl w:val="0"/>
            </w:rPr>
          </w:r>
        </w:p>
      </w:tc>
      <w:tc>
        <w:tcPr>
          <w:tcBorders>
            <w:top w:color="85200c" w:space="0" w:sz="24" w:val="single"/>
          </w:tcBorders>
          <w:shd w:fill="auto" w:val="clear"/>
          <w:vAlign w:val="center"/>
        </w:tcPr>
        <w:p w:rsidR="00000000" w:rsidDel="00000000" w:rsidP="00000000" w:rsidRDefault="00000000" w:rsidRPr="00000000" w14:paraId="0000040B">
          <w:pPr>
            <w:tabs>
              <w:tab w:val="center" w:leader="none" w:pos="4513"/>
              <w:tab w:val="right" w:leader="none" w:pos="9026"/>
            </w:tabs>
            <w:jc w:val="right"/>
            <w:rPr>
              <w:rFonts w:ascii="Arial" w:cs="Arial" w:eastAsia="Arial" w:hAnsi="Arial"/>
              <w:smallCaps w:val="1"/>
              <w:sz w:val="18"/>
              <w:szCs w:val="18"/>
            </w:rPr>
          </w:pPr>
          <w:r w:rsidDel="00000000" w:rsidR="00000000" w:rsidRPr="00000000">
            <w:rPr>
              <w:rFonts w:ascii="Arial" w:cs="Arial" w:eastAsia="Arial" w:hAnsi="Arial"/>
              <w:smallCaps w:val="1"/>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0C">
    <w:pPr>
      <w:tabs>
        <w:tab w:val="center" w:leader="none" w:pos="4513"/>
        <w:tab w:val="right" w:leader="none" w:pos="9026"/>
      </w:tabs>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416"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4646775</wp:posOffset>
          </wp:positionH>
          <wp:positionV relativeFrom="paragraph">
            <wp:posOffset>114300</wp:posOffset>
          </wp:positionV>
          <wp:extent cx="1215715" cy="1023760"/>
          <wp:effectExtent b="0" l="0" r="0" t="0"/>
          <wp:wrapNone/>
          <wp:docPr id="6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pPr>
    <w:r w:rsidDel="00000000" w:rsidR="00000000" w:rsidRPr="00000000">
      <w:rPr/>
      <w:pict>
        <v:shape id="WordPictureWatermark1"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rPr/>
    </w:pPr>
    <w:r w:rsidDel="00000000" w:rsidR="00000000" w:rsidRPr="00000000">
      <w:rPr/>
      <w:pict>
        <v:shape id="WordPictureWatermark3"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4360800</wp:posOffset>
          </wp:positionH>
          <wp:positionV relativeFrom="paragraph">
            <wp:posOffset>123817</wp:posOffset>
          </wp:positionV>
          <wp:extent cx="1215715" cy="1023760"/>
          <wp:effectExtent b="0" l="0" r="0" t="0"/>
          <wp:wrapNone/>
          <wp:docPr id="6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423"/>
      </w:pPr>
      <w:rPr>
        <w:rFonts w:ascii="Verdana" w:cs="Verdana" w:eastAsia="Verdana" w:hAnsi="Verdana"/>
        <w:b w:val="0"/>
        <w:bCs w:val="0"/>
        <w:i w:val="0"/>
        <w:iCs w:val="0"/>
        <w:color w:val="363435"/>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423"/>
      </w:pPr>
      <w:rPr>
        <w:rFonts w:ascii="Verdana" w:cs="Verdana" w:eastAsia="Verdana" w:hAnsi="Verdana"/>
        <w:b w:val="0"/>
        <w:bCs w:val="0"/>
        <w:i w:val="0"/>
        <w:iCs w:val="0"/>
        <w:color w:val="363435"/>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1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1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927.0000000000001"/>
      </w:pPr>
      <w:rPr>
        <w:rFonts w:ascii="Verdana" w:cs="Verdana" w:eastAsia="Verdana" w:hAnsi="Verdana"/>
        <w:b w:val="0"/>
        <w:bCs w:val="0"/>
        <w:i w:val="0"/>
        <w:iCs w:val="0"/>
        <w:color w:val="363435"/>
        <w:sz w:val="22"/>
        <w:szCs w:val="22"/>
      </w:rPr>
    </w:lvl>
    <w:lvl w:ilvl="2">
      <w:start w:val="0"/>
      <w:numFmt w:val="bullet"/>
      <w:lvlText w:val="•"/>
      <w:lvlJc w:val="left"/>
      <w:pPr>
        <w:ind w:left="2621" w:hanging="926.9999999999995"/>
      </w:pPr>
      <w:rPr/>
    </w:lvl>
    <w:lvl w:ilvl="3">
      <w:start w:val="0"/>
      <w:numFmt w:val="bullet"/>
      <w:lvlText w:val="•"/>
      <w:lvlJc w:val="left"/>
      <w:pPr>
        <w:ind w:left="3463" w:hanging="927"/>
      </w:pPr>
      <w:rPr/>
    </w:lvl>
    <w:lvl w:ilvl="4">
      <w:start w:val="0"/>
      <w:numFmt w:val="bullet"/>
      <w:lvlText w:val="•"/>
      <w:lvlJc w:val="left"/>
      <w:pPr>
        <w:ind w:left="4304" w:hanging="927"/>
      </w:pPr>
      <w:rPr/>
    </w:lvl>
    <w:lvl w:ilvl="5">
      <w:start w:val="0"/>
      <w:numFmt w:val="bullet"/>
      <w:lvlText w:val="•"/>
      <w:lvlJc w:val="left"/>
      <w:pPr>
        <w:ind w:left="5146" w:hanging="927"/>
      </w:pPr>
      <w:rPr/>
    </w:lvl>
    <w:lvl w:ilvl="6">
      <w:start w:val="0"/>
      <w:numFmt w:val="bullet"/>
      <w:lvlText w:val="•"/>
      <w:lvlJc w:val="left"/>
      <w:pPr>
        <w:ind w:left="5987" w:hanging="926.9999999999991"/>
      </w:pPr>
      <w:rPr/>
    </w:lvl>
    <w:lvl w:ilvl="7">
      <w:start w:val="0"/>
      <w:numFmt w:val="bullet"/>
      <w:lvlText w:val="•"/>
      <w:lvlJc w:val="left"/>
      <w:pPr>
        <w:ind w:left="6829" w:hanging="927.0000000000009"/>
      </w:pPr>
      <w:rPr/>
    </w:lvl>
    <w:lvl w:ilvl="8">
      <w:start w:val="0"/>
      <w:numFmt w:val="bullet"/>
      <w:lvlText w:val="•"/>
      <w:lvlJc w:val="left"/>
      <w:pPr>
        <w:ind w:left="7670" w:hanging="927"/>
      </w:pPr>
      <w:rPr/>
    </w:lvl>
  </w:abstractNum>
  <w:abstractNum w:abstractNumId="1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644"/>
      </w:pPr>
      <w:rPr>
        <w:rFonts w:ascii="Verdana" w:cs="Verdana" w:eastAsia="Verdana" w:hAnsi="Verdana"/>
        <w:b w:val="0"/>
        <w:bCs w:val="0"/>
        <w:i w:val="0"/>
        <w:iCs w:val="0"/>
        <w:color w:val="363435"/>
        <w:sz w:val="22"/>
        <w:szCs w:val="22"/>
      </w:rPr>
    </w:lvl>
    <w:lvl w:ilvl="2">
      <w:start w:val="0"/>
      <w:numFmt w:val="bullet"/>
      <w:lvlText w:val="•"/>
      <w:lvlJc w:val="left"/>
      <w:pPr>
        <w:ind w:left="2621" w:hanging="643.9999999999998"/>
      </w:pPr>
      <w:rPr/>
    </w:lvl>
    <w:lvl w:ilvl="3">
      <w:start w:val="0"/>
      <w:numFmt w:val="bullet"/>
      <w:lvlText w:val="•"/>
      <w:lvlJc w:val="left"/>
      <w:pPr>
        <w:ind w:left="3463" w:hanging="644"/>
      </w:pPr>
      <w:rPr/>
    </w:lvl>
    <w:lvl w:ilvl="4">
      <w:start w:val="0"/>
      <w:numFmt w:val="bullet"/>
      <w:lvlText w:val="•"/>
      <w:lvlJc w:val="left"/>
      <w:pPr>
        <w:ind w:left="4304" w:hanging="644"/>
      </w:pPr>
      <w:rPr/>
    </w:lvl>
    <w:lvl w:ilvl="5">
      <w:start w:val="0"/>
      <w:numFmt w:val="bullet"/>
      <w:lvlText w:val="•"/>
      <w:lvlJc w:val="left"/>
      <w:pPr>
        <w:ind w:left="5146" w:hanging="644"/>
      </w:pPr>
      <w:rPr/>
    </w:lvl>
    <w:lvl w:ilvl="6">
      <w:start w:val="0"/>
      <w:numFmt w:val="bullet"/>
      <w:lvlText w:val="•"/>
      <w:lvlJc w:val="left"/>
      <w:pPr>
        <w:ind w:left="5987" w:hanging="643.9999999999991"/>
      </w:pPr>
      <w:rPr/>
    </w:lvl>
    <w:lvl w:ilvl="7">
      <w:start w:val="0"/>
      <w:numFmt w:val="bullet"/>
      <w:lvlText w:val="•"/>
      <w:lvlJc w:val="left"/>
      <w:pPr>
        <w:ind w:left="6829" w:hanging="644"/>
      </w:pPr>
      <w:rPr/>
    </w:lvl>
    <w:lvl w:ilvl="8">
      <w:start w:val="0"/>
      <w:numFmt w:val="bullet"/>
      <w:lvlText w:val="•"/>
      <w:lvlJc w:val="left"/>
      <w:pPr>
        <w:ind w:left="7670" w:hanging="644"/>
      </w:pPr>
      <w:rPr/>
    </w:lvl>
  </w:abstractNum>
  <w:abstractNum w:abstractNumId="2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644"/>
      </w:pPr>
      <w:rPr>
        <w:rFonts w:ascii="Verdana" w:cs="Verdana" w:eastAsia="Verdana" w:hAnsi="Verdana"/>
        <w:b w:val="0"/>
        <w:bCs w:val="0"/>
        <w:i w:val="0"/>
        <w:iCs w:val="0"/>
        <w:color w:val="363435"/>
        <w:sz w:val="22"/>
        <w:szCs w:val="22"/>
      </w:rPr>
    </w:lvl>
    <w:lvl w:ilvl="2">
      <w:start w:val="0"/>
      <w:numFmt w:val="bullet"/>
      <w:lvlText w:val="•"/>
      <w:lvlJc w:val="left"/>
      <w:pPr>
        <w:ind w:left="2621" w:hanging="643.9999999999998"/>
      </w:pPr>
      <w:rPr/>
    </w:lvl>
    <w:lvl w:ilvl="3">
      <w:start w:val="0"/>
      <w:numFmt w:val="bullet"/>
      <w:lvlText w:val="•"/>
      <w:lvlJc w:val="left"/>
      <w:pPr>
        <w:ind w:left="3463" w:hanging="644"/>
      </w:pPr>
      <w:rPr/>
    </w:lvl>
    <w:lvl w:ilvl="4">
      <w:start w:val="0"/>
      <w:numFmt w:val="bullet"/>
      <w:lvlText w:val="•"/>
      <w:lvlJc w:val="left"/>
      <w:pPr>
        <w:ind w:left="4304" w:hanging="644"/>
      </w:pPr>
      <w:rPr/>
    </w:lvl>
    <w:lvl w:ilvl="5">
      <w:start w:val="0"/>
      <w:numFmt w:val="bullet"/>
      <w:lvlText w:val="•"/>
      <w:lvlJc w:val="left"/>
      <w:pPr>
        <w:ind w:left="5146" w:hanging="644"/>
      </w:pPr>
      <w:rPr/>
    </w:lvl>
    <w:lvl w:ilvl="6">
      <w:start w:val="0"/>
      <w:numFmt w:val="bullet"/>
      <w:lvlText w:val="•"/>
      <w:lvlJc w:val="left"/>
      <w:pPr>
        <w:ind w:left="5987" w:hanging="643.9999999999991"/>
      </w:pPr>
      <w:rPr/>
    </w:lvl>
    <w:lvl w:ilvl="7">
      <w:start w:val="0"/>
      <w:numFmt w:val="bullet"/>
      <w:lvlText w:val="•"/>
      <w:lvlJc w:val="left"/>
      <w:pPr>
        <w:ind w:left="6829" w:hanging="644"/>
      </w:pPr>
      <w:rPr/>
    </w:lvl>
    <w:lvl w:ilvl="8">
      <w:start w:val="0"/>
      <w:numFmt w:val="bullet"/>
      <w:lvlText w:val="•"/>
      <w:lvlJc w:val="left"/>
      <w:pPr>
        <w:ind w:left="7670" w:hanging="644"/>
      </w:pPr>
      <w:rPr/>
    </w:lvl>
  </w:abstractNum>
  <w:abstractNum w:abstractNumId="2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7">
    <w:lvl w:ilvl="0">
      <w:start w:val="1"/>
      <w:numFmt w:val="lowerLetter"/>
      <w:lvlText w:val="%1)"/>
      <w:lvlJc w:val="left"/>
      <w:pPr>
        <w:ind w:left="1416" w:hanging="567.0000000000001"/>
      </w:pPr>
      <w:rPr>
        <w:rFonts w:ascii="Verdana" w:cs="Verdana" w:eastAsia="Verdana" w:hAnsi="Verdana"/>
        <w:b w:val="0"/>
        <w:bCs w:val="0"/>
        <w:i w:val="0"/>
        <w:iCs w:val="0"/>
        <w:color w:val="363435"/>
        <w:sz w:val="22"/>
        <w:szCs w:val="22"/>
      </w:rPr>
    </w:lvl>
    <w:lvl w:ilvl="1">
      <w:start w:val="0"/>
      <w:numFmt w:val="bullet"/>
      <w:lvlText w:val="•"/>
      <w:lvlJc w:val="left"/>
      <w:pPr>
        <w:ind w:left="2213" w:hanging="566.9999999999998"/>
      </w:pPr>
      <w:rPr/>
    </w:lvl>
    <w:lvl w:ilvl="2">
      <w:start w:val="0"/>
      <w:numFmt w:val="bullet"/>
      <w:lvlText w:val="•"/>
      <w:lvlJc w:val="left"/>
      <w:pPr>
        <w:ind w:left="3006" w:hanging="566.9999999999995"/>
      </w:pPr>
      <w:rPr/>
    </w:lvl>
    <w:lvl w:ilvl="3">
      <w:start w:val="0"/>
      <w:numFmt w:val="bullet"/>
      <w:lvlText w:val="•"/>
      <w:lvlJc w:val="left"/>
      <w:pPr>
        <w:ind w:left="3800" w:hanging="567"/>
      </w:pPr>
      <w:rPr/>
    </w:lvl>
    <w:lvl w:ilvl="4">
      <w:start w:val="0"/>
      <w:numFmt w:val="bullet"/>
      <w:lvlText w:val="•"/>
      <w:lvlJc w:val="left"/>
      <w:pPr>
        <w:ind w:left="4593" w:hanging="567"/>
      </w:pPr>
      <w:rPr/>
    </w:lvl>
    <w:lvl w:ilvl="5">
      <w:start w:val="0"/>
      <w:numFmt w:val="bullet"/>
      <w:lvlText w:val="•"/>
      <w:lvlJc w:val="left"/>
      <w:pPr>
        <w:ind w:left="5387" w:hanging="566.9999999999991"/>
      </w:pPr>
      <w:rPr/>
    </w:lvl>
    <w:lvl w:ilvl="6">
      <w:start w:val="0"/>
      <w:numFmt w:val="bullet"/>
      <w:lvlText w:val="•"/>
      <w:lvlJc w:val="left"/>
      <w:pPr>
        <w:ind w:left="6180" w:hanging="567"/>
      </w:pPr>
      <w:rPr/>
    </w:lvl>
    <w:lvl w:ilvl="7">
      <w:start w:val="0"/>
      <w:numFmt w:val="bullet"/>
      <w:lvlText w:val="•"/>
      <w:lvlJc w:val="left"/>
      <w:pPr>
        <w:ind w:left="6973" w:hanging="567.0000000000009"/>
      </w:pPr>
      <w:rPr/>
    </w:lvl>
    <w:lvl w:ilvl="8">
      <w:start w:val="0"/>
      <w:numFmt w:val="bullet"/>
      <w:lvlText w:val="•"/>
      <w:lvlJc w:val="left"/>
      <w:pPr>
        <w:ind w:left="7767" w:hanging="567"/>
      </w:pPr>
      <w:rPr/>
    </w:lvl>
  </w:abstractNum>
  <w:abstractNum w:abstractNumId="2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1"/>
      <w:numFmt w:val="lowerRoman"/>
      <w:lvlText w:val="%3."/>
      <w:lvlJc w:val="left"/>
      <w:pPr>
        <w:ind w:left="2419" w:hanging="500"/>
      </w:pPr>
      <w:rPr>
        <w:rFonts w:ascii="Verdana" w:cs="Verdana" w:eastAsia="Verdana" w:hAnsi="Verdana"/>
        <w:b w:val="0"/>
        <w:bCs w:val="0"/>
        <w:i w:val="0"/>
        <w:iCs w:val="0"/>
        <w:sz w:val="22"/>
        <w:szCs w:val="22"/>
      </w:rPr>
    </w:lvl>
    <w:lvl w:ilvl="3">
      <w:start w:val="0"/>
      <w:numFmt w:val="bullet"/>
      <w:lvlText w:val="•"/>
      <w:lvlJc w:val="left"/>
      <w:pPr>
        <w:ind w:left="3286" w:hanging="500"/>
      </w:pPr>
      <w:rPr/>
    </w:lvl>
    <w:lvl w:ilvl="4">
      <w:start w:val="0"/>
      <w:numFmt w:val="bullet"/>
      <w:lvlText w:val="•"/>
      <w:lvlJc w:val="left"/>
      <w:pPr>
        <w:ind w:left="4153" w:hanging="500"/>
      </w:pPr>
      <w:rPr/>
    </w:lvl>
    <w:lvl w:ilvl="5">
      <w:start w:val="0"/>
      <w:numFmt w:val="bullet"/>
      <w:lvlText w:val="•"/>
      <w:lvlJc w:val="left"/>
      <w:pPr>
        <w:ind w:left="5020" w:hanging="500"/>
      </w:pPr>
      <w:rPr/>
    </w:lvl>
    <w:lvl w:ilvl="6">
      <w:start w:val="0"/>
      <w:numFmt w:val="bullet"/>
      <w:lvlText w:val="•"/>
      <w:lvlJc w:val="left"/>
      <w:pPr>
        <w:ind w:left="5887" w:hanging="500"/>
      </w:pPr>
      <w:rPr/>
    </w:lvl>
    <w:lvl w:ilvl="7">
      <w:start w:val="0"/>
      <w:numFmt w:val="bullet"/>
      <w:lvlText w:val="•"/>
      <w:lvlJc w:val="left"/>
      <w:pPr>
        <w:ind w:left="6753" w:hanging="500"/>
      </w:pPr>
      <w:rPr/>
    </w:lvl>
    <w:lvl w:ilvl="8">
      <w:start w:val="0"/>
      <w:numFmt w:val="bullet"/>
      <w:lvlText w:val="•"/>
      <w:lvlJc w:val="left"/>
      <w:pPr>
        <w:ind w:left="7620" w:hanging="500"/>
      </w:pPr>
      <w:rPr/>
    </w:lvl>
  </w:abstractNum>
  <w:abstractNum w:abstractNumId="2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decimal"/>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4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361"/>
      </w:pPr>
      <w:rPr>
        <w:rFonts w:ascii="Verdana" w:cs="Verdana" w:eastAsia="Verdana" w:hAnsi="Verdana"/>
        <w:b w:val="0"/>
        <w:bCs w:val="0"/>
        <w:i w:val="0"/>
        <w:iCs w:val="0"/>
        <w:color w:val="363435"/>
        <w:sz w:val="22"/>
        <w:szCs w:val="22"/>
      </w:rPr>
    </w:lvl>
    <w:lvl w:ilvl="2">
      <w:start w:val="0"/>
      <w:numFmt w:val="bullet"/>
      <w:lvlText w:val="•"/>
      <w:lvlJc w:val="left"/>
      <w:pPr>
        <w:ind w:left="2621" w:hanging="360.99999999999955"/>
      </w:pPr>
      <w:rPr/>
    </w:lvl>
    <w:lvl w:ilvl="3">
      <w:start w:val="0"/>
      <w:numFmt w:val="bullet"/>
      <w:lvlText w:val="•"/>
      <w:lvlJc w:val="left"/>
      <w:pPr>
        <w:ind w:left="3463" w:hanging="361"/>
      </w:pPr>
      <w:rPr/>
    </w:lvl>
    <w:lvl w:ilvl="4">
      <w:start w:val="0"/>
      <w:numFmt w:val="bullet"/>
      <w:lvlText w:val="•"/>
      <w:lvlJc w:val="left"/>
      <w:pPr>
        <w:ind w:left="4304" w:hanging="361.00000000000045"/>
      </w:pPr>
      <w:rPr/>
    </w:lvl>
    <w:lvl w:ilvl="5">
      <w:start w:val="0"/>
      <w:numFmt w:val="bullet"/>
      <w:lvlText w:val="•"/>
      <w:lvlJc w:val="left"/>
      <w:pPr>
        <w:ind w:left="5146" w:hanging="361"/>
      </w:pPr>
      <w:rPr/>
    </w:lvl>
    <w:lvl w:ilvl="6">
      <w:start w:val="0"/>
      <w:numFmt w:val="bullet"/>
      <w:lvlText w:val="•"/>
      <w:lvlJc w:val="left"/>
      <w:pPr>
        <w:ind w:left="5987" w:hanging="361"/>
      </w:pPr>
      <w:rPr/>
    </w:lvl>
    <w:lvl w:ilvl="7">
      <w:start w:val="0"/>
      <w:numFmt w:val="bullet"/>
      <w:lvlText w:val="•"/>
      <w:lvlJc w:val="left"/>
      <w:pPr>
        <w:ind w:left="6829" w:hanging="361"/>
      </w:pPr>
      <w:rPr/>
    </w:lvl>
    <w:lvl w:ilvl="8">
      <w:start w:val="0"/>
      <w:numFmt w:val="bullet"/>
      <w:lvlText w:val="•"/>
      <w:lvlJc w:val="left"/>
      <w:pPr>
        <w:ind w:left="7670" w:hanging="361"/>
      </w:pPr>
      <w:rPr/>
    </w:lvl>
  </w:abstractNum>
  <w:abstractNum w:abstractNumId="4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5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569" w:hanging="360"/>
      </w:pPr>
      <w:rPr>
        <w:b w:val="0"/>
        <w:bCs w:val="0"/>
        <w:i w:val="0"/>
        <w:iCs w:val="0"/>
        <w:sz w:val="22"/>
        <w:szCs w:val="22"/>
      </w:rPr>
    </w:lvl>
    <w:lvl w:ilvl="2">
      <w:start w:val="0"/>
      <w:numFmt w:val="bullet"/>
      <w:lvlText w:val="•"/>
      <w:lvlJc w:val="left"/>
      <w:pPr>
        <w:ind w:left="2426" w:hanging="360"/>
      </w:pPr>
      <w:rPr/>
    </w:lvl>
    <w:lvl w:ilvl="3">
      <w:start w:val="0"/>
      <w:numFmt w:val="bullet"/>
      <w:lvlText w:val="•"/>
      <w:lvlJc w:val="left"/>
      <w:pPr>
        <w:ind w:left="3292" w:hanging="360"/>
      </w:pPr>
      <w:rPr/>
    </w:lvl>
    <w:lvl w:ilvl="4">
      <w:start w:val="0"/>
      <w:numFmt w:val="bullet"/>
      <w:lvlText w:val="•"/>
      <w:lvlJc w:val="left"/>
      <w:pPr>
        <w:ind w:left="4158" w:hanging="360"/>
      </w:pPr>
      <w:rPr/>
    </w:lvl>
    <w:lvl w:ilvl="5">
      <w:start w:val="0"/>
      <w:numFmt w:val="bullet"/>
      <w:lvlText w:val="•"/>
      <w:lvlJc w:val="left"/>
      <w:pPr>
        <w:ind w:left="5024" w:hanging="360"/>
      </w:pPr>
      <w:rPr/>
    </w:lvl>
    <w:lvl w:ilvl="6">
      <w:start w:val="0"/>
      <w:numFmt w:val="bullet"/>
      <w:lvlText w:val="•"/>
      <w:lvlJc w:val="left"/>
      <w:pPr>
        <w:ind w:left="5890" w:hanging="360"/>
      </w:pPr>
      <w:rPr/>
    </w:lvl>
    <w:lvl w:ilvl="7">
      <w:start w:val="0"/>
      <w:numFmt w:val="bullet"/>
      <w:lvlText w:val="•"/>
      <w:lvlJc w:val="left"/>
      <w:pPr>
        <w:ind w:left="6756" w:hanging="360"/>
      </w:pPr>
      <w:rPr/>
    </w:lvl>
    <w:lvl w:ilvl="8">
      <w:start w:val="0"/>
      <w:numFmt w:val="bullet"/>
      <w:lvlText w:val="•"/>
      <w:lvlJc w:val="left"/>
      <w:pPr>
        <w:ind w:left="7622" w:hanging="360"/>
      </w:pPr>
      <w:rPr/>
    </w:lvl>
  </w:abstractNum>
  <w:abstractNum w:abstractNumId="5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Roman"/>
      <w:lvlText w:val="%2."/>
      <w:lvlJc w:val="left"/>
      <w:pPr>
        <w:ind w:left="1416" w:hanging="423"/>
      </w:pPr>
      <w:rPr>
        <w:rFonts w:ascii="Verdana" w:cs="Verdana" w:eastAsia="Verdana" w:hAnsi="Verdana"/>
        <w:b w:val="0"/>
        <w:bCs w:val="0"/>
        <w:i w:val="0"/>
        <w:iCs w:val="0"/>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5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5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8">
    <w:lvl w:ilvl="0">
      <w:start w:val="10"/>
      <w:numFmt w:val="upperRoman"/>
      <w:lvlText w:val="%1."/>
      <w:lvlJc w:val="left"/>
      <w:pPr>
        <w:ind w:left="643" w:hanging="611"/>
      </w:pPr>
      <w:rPr>
        <w:rFonts w:ascii="Verdana" w:cs="Verdana" w:eastAsia="Verdana" w:hAnsi="Verdana"/>
        <w:b w:val="1"/>
        <w:bCs w:val="1"/>
        <w:i w:val="0"/>
        <w:iCs w:val="0"/>
        <w:sz w:val="22"/>
        <w:szCs w:val="22"/>
      </w:rPr>
    </w:lvl>
    <w:lvl w:ilvl="1">
      <w:start w:val="1"/>
      <w:numFmt w:val="upperLetter"/>
      <w:lvlText w:val="%2."/>
      <w:lvlJc w:val="left"/>
      <w:pPr>
        <w:ind w:left="282" w:hanging="567"/>
      </w:pPr>
      <w:rPr>
        <w:rFonts w:ascii="Verdana" w:cs="Verdana" w:eastAsia="Verdana" w:hAnsi="Verdana"/>
        <w:b w:val="1"/>
        <w:bCs w:val="1"/>
        <w:i w:val="0"/>
        <w:iCs w:val="0"/>
        <w:sz w:val="22"/>
        <w:szCs w:val="22"/>
      </w:rPr>
    </w:lvl>
    <w:lvl w:ilvl="2">
      <w:start w:val="1"/>
      <w:numFmt w:val="decimal"/>
      <w:lvlText w:val="%3."/>
      <w:lvlJc w:val="left"/>
      <w:pPr>
        <w:ind w:left="849" w:hanging="567"/>
      </w:pPr>
      <w:rPr>
        <w:rFonts w:ascii="Verdana" w:cs="Verdana" w:eastAsia="Verdana" w:hAnsi="Verdana"/>
        <w:b w:val="0"/>
        <w:bCs w:val="0"/>
        <w:i w:val="0"/>
        <w:iCs w:val="0"/>
        <w:sz w:val="22"/>
        <w:szCs w:val="22"/>
      </w:rPr>
    </w:lvl>
    <w:lvl w:ilvl="3">
      <w:start w:val="1"/>
      <w:numFmt w:val="lowerLetter"/>
      <w:lvlText w:val="%4)"/>
      <w:lvlJc w:val="left"/>
      <w:pPr>
        <w:ind w:left="1776" w:hanging="644"/>
      </w:pPr>
      <w:rPr>
        <w:rFonts w:ascii="Verdana" w:cs="Verdana" w:eastAsia="Verdana" w:hAnsi="Verdana"/>
        <w:b w:val="0"/>
        <w:bCs w:val="0"/>
        <w:i w:val="0"/>
        <w:iCs w:val="0"/>
        <w:color w:val="363435"/>
        <w:sz w:val="22"/>
        <w:szCs w:val="22"/>
      </w:rPr>
    </w:lvl>
    <w:lvl w:ilvl="4">
      <w:start w:val="0"/>
      <w:numFmt w:val="bullet"/>
      <w:lvlText w:val="•"/>
      <w:lvlJc w:val="left"/>
      <w:pPr>
        <w:ind w:left="1780" w:hanging="644"/>
      </w:pPr>
      <w:rPr/>
    </w:lvl>
    <w:lvl w:ilvl="5">
      <w:start w:val="0"/>
      <w:numFmt w:val="bullet"/>
      <w:lvlText w:val="•"/>
      <w:lvlJc w:val="left"/>
      <w:pPr>
        <w:ind w:left="3042" w:hanging="644"/>
      </w:pPr>
      <w:rPr/>
    </w:lvl>
    <w:lvl w:ilvl="6">
      <w:start w:val="0"/>
      <w:numFmt w:val="bullet"/>
      <w:lvlText w:val="•"/>
      <w:lvlJc w:val="left"/>
      <w:pPr>
        <w:ind w:left="4304" w:hanging="644"/>
      </w:pPr>
      <w:rPr/>
    </w:lvl>
    <w:lvl w:ilvl="7">
      <w:start w:val="0"/>
      <w:numFmt w:val="bullet"/>
      <w:lvlText w:val="•"/>
      <w:lvlJc w:val="left"/>
      <w:pPr>
        <w:ind w:left="5567" w:hanging="643.9999999999991"/>
      </w:pPr>
      <w:rPr/>
    </w:lvl>
    <w:lvl w:ilvl="8">
      <w:start w:val="0"/>
      <w:numFmt w:val="bullet"/>
      <w:lvlText w:val="•"/>
      <w:lvlJc w:val="left"/>
      <w:pPr>
        <w:ind w:left="6829" w:hanging="644"/>
      </w:pPr>
      <w:rPr/>
    </w:lvl>
  </w:abstractNum>
  <w:abstractNum w:abstractNumId="5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642" w:hanging="360"/>
      </w:pPr>
      <w:rPr/>
    </w:lvl>
    <w:lvl w:ilvl="1">
      <w:start w:val="1"/>
      <w:numFmt w:val="lowerLetter"/>
      <w:lvlText w:val="%2."/>
      <w:lvlJc w:val="left"/>
      <w:pPr>
        <w:ind w:left="1362" w:hanging="360.0000000000001"/>
      </w:pPr>
      <w:rPr/>
    </w:lvl>
    <w:lvl w:ilvl="2">
      <w:start w:val="1"/>
      <w:numFmt w:val="lowerRoman"/>
      <w:lvlText w:val="%3."/>
      <w:lvlJc w:val="right"/>
      <w:pPr>
        <w:ind w:left="2082" w:hanging="180"/>
      </w:pPr>
      <w:rPr/>
    </w:lvl>
    <w:lvl w:ilvl="3">
      <w:start w:val="1"/>
      <w:numFmt w:val="decimal"/>
      <w:lvlText w:val="%4."/>
      <w:lvlJc w:val="left"/>
      <w:pPr>
        <w:ind w:left="2802" w:hanging="360"/>
      </w:pPr>
      <w:rPr/>
    </w:lvl>
    <w:lvl w:ilvl="4">
      <w:start w:val="1"/>
      <w:numFmt w:val="lowerLetter"/>
      <w:lvlText w:val="%5."/>
      <w:lvlJc w:val="left"/>
      <w:pPr>
        <w:ind w:left="3522" w:hanging="360"/>
      </w:pPr>
      <w:rPr/>
    </w:lvl>
    <w:lvl w:ilvl="5">
      <w:start w:val="1"/>
      <w:numFmt w:val="lowerRoman"/>
      <w:lvlText w:val="%6."/>
      <w:lvlJc w:val="right"/>
      <w:pPr>
        <w:ind w:left="4242" w:hanging="180"/>
      </w:pPr>
      <w:rPr/>
    </w:lvl>
    <w:lvl w:ilvl="6">
      <w:start w:val="1"/>
      <w:numFmt w:val="decimal"/>
      <w:lvlText w:val="%7."/>
      <w:lvlJc w:val="left"/>
      <w:pPr>
        <w:ind w:left="4962" w:hanging="360"/>
      </w:pPr>
      <w:rPr/>
    </w:lvl>
    <w:lvl w:ilvl="7">
      <w:start w:val="1"/>
      <w:numFmt w:val="lowerLetter"/>
      <w:lvlText w:val="%8."/>
      <w:lvlJc w:val="left"/>
      <w:pPr>
        <w:ind w:left="5682" w:hanging="360"/>
      </w:pPr>
      <w:rPr/>
    </w:lvl>
    <w:lvl w:ilvl="8">
      <w:start w:val="1"/>
      <w:numFmt w:val="lowerRoman"/>
      <w:lvlText w:val="%9."/>
      <w:lvlJc w:val="right"/>
      <w:pPr>
        <w:ind w:left="6402" w:hanging="180"/>
      </w:pPr>
      <w:rPr/>
    </w:lvl>
  </w:abstractNum>
  <w:abstractNum w:abstractNumId="62">
    <w:lvl w:ilvl="0">
      <w:start w:val="1"/>
      <w:numFmt w:val="decimal"/>
      <w:lvlText w:val="%1."/>
      <w:lvlJc w:val="left"/>
      <w:pPr>
        <w:ind w:left="720" w:hanging="360"/>
      </w:pPr>
      <w:rPr>
        <w:rFonts w:ascii="Verdana" w:cs="Verdana" w:eastAsia="Verdana" w:hAnsi="Verdana"/>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66">
    <w:lvl w:ilvl="0">
      <w:start w:val="1"/>
      <w:numFmt w:val="decimal"/>
      <w:lvlText w:val="%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6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6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552" w:lineRule="auto"/>
      <w:ind w:left="708.6614173228347" w:hanging="420"/>
    </w:pPr>
    <w:rPr>
      <w:b w:val="1"/>
      <w:bCs w:val="1"/>
    </w:rPr>
  </w:style>
  <w:style w:type="paragraph" w:styleId="Heading2">
    <w:name w:val="heading 2"/>
    <w:basedOn w:val="Normal"/>
    <w:next w:val="Normal"/>
    <w:pPr>
      <w:keepNext w:val="1"/>
      <w:keepLines w:val="1"/>
      <w:spacing w:after="120" w:before="200" w:line="360" w:lineRule="auto"/>
      <w:ind w:left="851" w:firstLine="0"/>
      <w:jc w:val="both"/>
    </w:pPr>
    <w:rPr>
      <w:b w:val="1"/>
      <w:bCs w:val="1"/>
    </w:rPr>
  </w:style>
  <w:style w:type="paragraph" w:styleId="Heading3">
    <w:name w:val="heading 3"/>
    <w:basedOn w:val="Normal"/>
    <w:next w:val="Normal"/>
    <w:pPr>
      <w:keepNext w:val="1"/>
      <w:keepLines w:val="1"/>
      <w:spacing w:after="240" w:before="239" w:lineRule="auto"/>
      <w:ind w:left="851" w:firstLine="0"/>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0" w:lineRule="auto"/>
      <w:ind w:left="2639" w:right="2606" w:hanging="23.000000000000114"/>
      <w:jc w:val="center"/>
    </w:pPr>
    <w:rPr>
      <w:rFonts w:ascii="Arial" w:cs="Arial" w:eastAsia="Arial" w:hAnsi="Arial"/>
      <w:b w:val="1"/>
      <w:bCs w:val="1"/>
      <w:sz w:val="48"/>
      <w:szCs w:val="4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independiente">
    <w:name w:val="Body Text"/>
    <w:basedOn w:val="Normal"/>
    <w:uiPriority w:val="1"/>
    <w:qFormat w:val="1"/>
  </w:style>
  <w:style w:type="paragraph" w:styleId="Prrafodelista">
    <w:name w:val="List Paragraph"/>
    <w:basedOn w:val="Normal"/>
    <w:uiPriority w:val="1"/>
    <w:qFormat w:val="1"/>
    <w:pPr>
      <w:ind w:left="849" w:hanging="567"/>
      <w:jc w:val="both"/>
    </w:pPr>
  </w:style>
  <w:style w:type="paragraph" w:styleId="TableParagraph" w:customStyle="1">
    <w:name w:val="Table Paragraph"/>
    <w:basedOn w:val="Normal"/>
    <w:uiPriority w:val="1"/>
    <w:qFormat w:val="1"/>
    <w:pPr>
      <w:jc w:val="center"/>
    </w:pPr>
  </w:style>
  <w:style w:type="paragraph" w:styleId="Encabezado">
    <w:name w:val="header"/>
    <w:basedOn w:val="Normal"/>
    <w:link w:val="EncabezadoCar"/>
    <w:uiPriority w:val="99"/>
    <w:unhideWhenUsed w:val="1"/>
    <w:rsid w:val="00AC2010"/>
    <w:pPr>
      <w:tabs>
        <w:tab w:val="center" w:pos="4513"/>
        <w:tab w:val="right" w:pos="9026"/>
      </w:tabs>
    </w:pPr>
  </w:style>
  <w:style w:type="character" w:styleId="EncabezadoCar" w:customStyle="1">
    <w:name w:val="Encabezado Car"/>
    <w:basedOn w:val="Fuentedeprrafopredeter"/>
    <w:link w:val="Encabezado"/>
    <w:uiPriority w:val="99"/>
    <w:rsid w:val="00AC2010"/>
    <w:rPr>
      <w:rFonts w:ascii="Verdana" w:cs="Verdana" w:eastAsia="Verdana" w:hAnsi="Verdana"/>
      <w:lang w:val="es-ES"/>
    </w:rPr>
  </w:style>
  <w:style w:type="paragraph" w:styleId="Piedepgina">
    <w:name w:val="footer"/>
    <w:basedOn w:val="Normal"/>
    <w:link w:val="PiedepginaCar"/>
    <w:uiPriority w:val="99"/>
    <w:unhideWhenUsed w:val="1"/>
    <w:rsid w:val="00AC2010"/>
    <w:pPr>
      <w:tabs>
        <w:tab w:val="center" w:pos="4513"/>
        <w:tab w:val="right" w:pos="9026"/>
      </w:tabs>
    </w:pPr>
  </w:style>
  <w:style w:type="character" w:styleId="PiedepginaCar" w:customStyle="1">
    <w:name w:val="Pie de página Car"/>
    <w:basedOn w:val="Fuentedeprrafopredeter"/>
    <w:link w:val="Piedepgina"/>
    <w:uiPriority w:val="99"/>
    <w:rsid w:val="00AC2010"/>
    <w:rPr>
      <w:rFonts w:ascii="Verdana" w:cs="Verdana" w:eastAsia="Verdana" w:hAnsi="Verdana"/>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eader" Target="header3.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UKekApLxrdr46U89hv2Ik3htg==">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2026-09-22T13:45:00Z</dcterms:created>
  <dc:creator>USER</dc:creator>
  <dc:title>Reglas del Arbitro de Emergencia</dc:title>
  <dc:description>Versi?n de trabajo extra?da del documento normativo publicado por la instituci?n.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LastSaved">
    <vt:filetime>2026-09-21T00:00:00Z</vt:filetime>
  </property>
  <property fmtid="{D5CDD505-2E9C-101B-9397-08002B2CF9AE}" pid="5" name="Producer">
    <vt:lpwstr>iLovePDF</vt:lpwstr>
  </property>
</Properties>
</file>