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ED">
      <w:pPr>
        <w:pStyle w:val="Heading1"/>
        <w:numPr>
          <w:ilvl w:val="1"/>
          <w:numId w:val="58"/>
        </w:numPr>
        <w:ind w:left="850.3937007874017" w:hanging="566.929133858268"/>
        <w:rPr/>
      </w:pPr>
      <w:bookmarkStart w:colFirst="0" w:colLast="0" w:name="_heading=h.39tqiajm7xsy" w:id="77"/>
      <w:bookmarkEnd w:id="77"/>
      <w:r w:rsidDel="00000000" w:rsidR="00000000" w:rsidRPr="00000000">
        <w:rPr>
          <w:rtl w:val="0"/>
        </w:rPr>
        <w:t xml:space="preserve">Tabla de Gastos Arbitrales </w:t>
      </w:r>
    </w:p>
    <w:p w:rsidR="00000000" w:rsidDel="00000000" w:rsidP="00000000" w:rsidRDefault="00000000" w:rsidRPr="00000000" w14:paraId="000002EE">
      <w:pPr>
        <w:pStyle w:val="Heading2"/>
        <w:spacing w:after="240" w:before="0" w:lineRule="auto"/>
        <w:ind w:left="2552" w:hanging="1701"/>
        <w:jc w:val="both"/>
        <w:rPr/>
      </w:pPr>
      <w:bookmarkStart w:colFirst="0" w:colLast="0" w:name="_heading=h.4adntnrf8vqa" w:id="78"/>
      <w:bookmarkEnd w:id="78"/>
      <w:r w:rsidDel="00000000" w:rsidR="00000000" w:rsidRPr="00000000">
        <w:rPr>
          <w:rtl w:val="0"/>
        </w:rPr>
        <w:t xml:space="preserve">Artículo 1.- Finalidad</w:t>
      </w:r>
    </w:p>
    <w:p w:rsidR="00000000" w:rsidDel="00000000" w:rsidP="00000000" w:rsidRDefault="00000000" w:rsidRPr="00000000" w14:paraId="000002EF">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4" w:line="276" w:lineRule="auto"/>
        <w:ind w:left="1276"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a efectos de garantizar que todos los actores involucrados en los procesos de arbitraje comprendan claramente los costos asociados, ha establecido la presente Tabla de Gastos Arbitrales para los arbitrajes de cuantía determinada o indeterminada.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pStyle w:val="Heading2"/>
        <w:spacing w:after="240" w:before="239" w:lineRule="auto"/>
        <w:ind w:left="2552" w:hanging="1701"/>
        <w:jc w:val="both"/>
        <w:rPr/>
      </w:pPr>
      <w:bookmarkStart w:colFirst="0" w:colLast="0" w:name="_heading=h.s7qbi9i27tmb" w:id="79"/>
      <w:bookmarkEnd w:id="79"/>
      <w:r w:rsidDel="00000000" w:rsidR="00000000" w:rsidRPr="00000000">
        <w:rPr>
          <w:rtl w:val="0"/>
        </w:rPr>
        <w:t xml:space="preserve">Artículo 2.- Definiciones para calcular los costos</w:t>
      </w:r>
    </w:p>
    <w:p w:rsidR="00000000" w:rsidDel="00000000" w:rsidP="00000000" w:rsidRDefault="00000000" w:rsidRPr="00000000" w14:paraId="000002F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Controversia de cuantía determinada: Son aquellas controversias que contiene únicamente pretensiones cuantificables en dinero.</w:t>
      </w:r>
    </w:p>
    <w:p w:rsidR="00000000" w:rsidDel="00000000" w:rsidP="00000000" w:rsidRDefault="00000000" w:rsidRPr="00000000" w14:paraId="000002F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Controversia de cuantía indeterminada: Son aquellas controversias que, por su naturaleza, contiene únicamente pretensiones no apreciables en dinero.</w:t>
      </w:r>
    </w:p>
    <w:p w:rsidR="00000000" w:rsidDel="00000000" w:rsidP="00000000" w:rsidRDefault="00000000" w:rsidRPr="00000000" w14:paraId="000002F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Controversia de cuantía mixta: Son aquellas controversias que contienen pretensiones de cuantía determinada e indeterminada.</w:t>
      </w:r>
    </w:p>
    <w:p w:rsidR="00000000" w:rsidDel="00000000" w:rsidP="00000000" w:rsidRDefault="00000000" w:rsidRPr="00000000" w14:paraId="000002F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Gastos administrativos: Son los costos relacionados con los trámites administrativos del proceso arbitral, tales como la inscripción de árbitros, designación residual de árbitros y otros.</w:t>
      </w:r>
    </w:p>
    <w:p w:rsidR="00000000" w:rsidDel="00000000" w:rsidP="00000000" w:rsidRDefault="00000000" w:rsidRPr="00000000" w14:paraId="000002F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82" w:line="240"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Costos arbitrales: Comprenden los honorarios profesionales de los árbitros y los gastos administrativos del Centro de Arbitraje.</w:t>
      </w:r>
    </w:p>
    <w:p w:rsidR="00000000" w:rsidDel="00000000" w:rsidP="00000000" w:rsidRDefault="00000000" w:rsidRPr="00000000" w14:paraId="000002F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line="278.0000000000000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Tabla de Gastos Arbitrales: Comprende la relación de rangos, reglas y fórmulas que sirven para el cálculo del monto de los honorarios profesionales de los árbitros y de los gastos administrativos del Centro de Arbitraje.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2"/>
        <w:spacing w:after="240" w:before="239" w:lineRule="auto"/>
        <w:ind w:left="2552" w:hanging="1701"/>
        <w:jc w:val="both"/>
        <w:rPr/>
      </w:pPr>
      <w:bookmarkStart w:colFirst="0" w:colLast="0" w:name="_heading=h.5l1nn99cum4y" w:id="80"/>
      <w:bookmarkEnd w:id="80"/>
      <w:r w:rsidDel="00000000" w:rsidR="00000000" w:rsidRPr="00000000">
        <w:rPr>
          <w:rtl w:val="0"/>
        </w:rPr>
        <w:t xml:space="preserve">Artículo 3.- Tablas para el cálculo de costos arbitrales</w:t>
      </w:r>
    </w:p>
    <w:p w:rsidR="00000000" w:rsidDel="00000000" w:rsidP="00000000" w:rsidRDefault="00000000" w:rsidRPr="00000000" w14:paraId="000002F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cálculo de los gastos arbitrales, se deberá de utilizar la Tabla de Gastos Arbitrales, donde se contempla dos formas de cálculo:</w:t>
      </w:r>
    </w:p>
    <w:p w:rsidR="00000000" w:rsidDel="00000000" w:rsidP="00000000" w:rsidRDefault="00000000" w:rsidRPr="00000000" w14:paraId="000002F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774"/>
          <w:tab w:val="left" w:leader="none" w:pos="1776"/>
        </w:tabs>
        <w:spacing w:after="240" w:before="0" w:line="276" w:lineRule="auto"/>
        <w:ind w:left="1776" w:right="0" w:hanging="36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“Tabla de Cuantía Determinada” (aplicable a controversias de cuantía determinada), y</w:t>
      </w:r>
    </w:p>
    <w:p w:rsidR="00000000" w:rsidDel="00000000" w:rsidP="00000000" w:rsidRDefault="00000000" w:rsidRPr="00000000" w14:paraId="000002FC">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774"/>
          <w:tab w:val="left" w:leader="none" w:pos="1776"/>
        </w:tabs>
        <w:spacing w:after="240" w:before="0" w:line="276" w:lineRule="auto"/>
        <w:ind w:left="1776" w:right="0" w:hanging="360.9999999999999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“Tabla de Cuantía Indeterminada” (aplicable a controversias de cuantía indeterminada).</w:t>
      </w:r>
    </w:p>
    <w:p w:rsidR="00000000" w:rsidDel="00000000" w:rsidP="00000000" w:rsidRDefault="00000000" w:rsidRPr="00000000" w14:paraId="000002F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Ambas tablas contemplan la forma para calcular los honorarios profesionales de los árbitros (sea para el árbitro único o tribunal arbitral) y los gastos administrativos del Centro de Arbitraje, para controversias de cuantía determinada o indeterminada.</w:t>
      </w:r>
    </w:p>
    <w:p w:rsidR="00000000" w:rsidDel="00000000" w:rsidP="00000000" w:rsidRDefault="00000000" w:rsidRPr="00000000" w14:paraId="000002F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forma de cálculo del procedimiento en caso de controversias de cuantía mixta, será detallada mediante el presente documento.</w:t>
      </w:r>
    </w:p>
    <w:p w:rsidR="00000000" w:rsidDel="00000000" w:rsidP="00000000" w:rsidRDefault="00000000" w:rsidRPr="00000000" w14:paraId="000002F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cálculo de los gastos arbitrales, en ninguno de los procedimientos se tomará en cuenta las pretensiones referidas a la asunción de costos y gastos arbitrales ni pretensiones accesorias o subordinadas o similares.</w:t>
      </w:r>
    </w:p>
    <w:p w:rsidR="00000000" w:rsidDel="00000000" w:rsidP="00000000" w:rsidRDefault="00000000" w:rsidRPr="00000000" w14:paraId="0000030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Finalmente, el costo de la solicitud arbitral no está incluido en la “Tabla de Cuantía Determinada”.</w:t>
      </w:r>
    </w:p>
    <w:p w:rsidR="00000000" w:rsidDel="00000000" w:rsidP="00000000" w:rsidRDefault="00000000" w:rsidRPr="00000000" w14:paraId="00000301">
      <w:pPr>
        <w:spacing w:after="240" w:before="1" w:line="276" w:lineRule="auto"/>
        <w:rPr/>
      </w:pPr>
      <w:r w:rsidDel="00000000" w:rsidR="00000000" w:rsidRPr="00000000">
        <w:rPr>
          <w:rtl w:val="0"/>
        </w:rPr>
      </w:r>
    </w:p>
    <w:p w:rsidR="00000000" w:rsidDel="00000000" w:rsidP="00000000" w:rsidRDefault="00000000" w:rsidRPr="00000000" w14:paraId="00000302">
      <w:pPr>
        <w:pStyle w:val="Heading2"/>
        <w:spacing w:after="240" w:before="239" w:lineRule="auto"/>
        <w:ind w:left="2552" w:hanging="1701"/>
        <w:jc w:val="both"/>
        <w:rPr/>
      </w:pPr>
      <w:bookmarkStart w:colFirst="0" w:colLast="0" w:name="_heading=h.jxsssljhamv6" w:id="81"/>
      <w:bookmarkEnd w:id="81"/>
      <w:r w:rsidDel="00000000" w:rsidR="00000000" w:rsidRPr="00000000">
        <w:rPr>
          <w:rtl w:val="0"/>
        </w:rPr>
        <w:t xml:space="preserve">Artículo 4.- Cálculo de Gastos: Cuantía determinada del Centro</w:t>
      </w:r>
    </w:p>
    <w:p w:rsidR="00000000" w:rsidDel="00000000" w:rsidP="00000000" w:rsidRDefault="00000000" w:rsidRPr="00000000" w14:paraId="0000030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cálculo de los gastos para controversias con pretensiones de cuantía determinada, primero, se sumará la cuantía total de las pretensiones determinadas. Acto seguido, se aplicará la Tabla de Cuantía Determinada (Anexo N° 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pStyle w:val="Heading2"/>
        <w:spacing w:after="240" w:before="239" w:lineRule="auto"/>
        <w:ind w:left="2552" w:hanging="1701"/>
        <w:jc w:val="both"/>
        <w:rPr/>
      </w:pPr>
      <w:bookmarkStart w:colFirst="0" w:colLast="0" w:name="_heading=h.dw4e8uo3169d" w:id="82"/>
      <w:bookmarkEnd w:id="82"/>
      <w:r w:rsidDel="00000000" w:rsidR="00000000" w:rsidRPr="00000000">
        <w:rPr>
          <w:rtl w:val="0"/>
        </w:rPr>
        <w:t xml:space="preserve">Artículo 5.- Cálculo de Gastos: Cuantía indeterminada del Centro</w:t>
      </w:r>
    </w:p>
    <w:p w:rsidR="00000000" w:rsidDel="00000000" w:rsidP="00000000" w:rsidRDefault="00000000" w:rsidRPr="00000000" w14:paraId="0000030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82" w:line="276" w:lineRule="auto"/>
        <w:ind w:left="1276" w:right="0" w:hanging="4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cálculo de los gastos para controversias con pretensiones de cuantía indeterminada, segundo, se contabilizará la cantidad de pretensiones indeterminadas. Acto seguido, por cada pretensión indeterminada, se tomará el 6.2% del monto del contrato original objeto del arbitraje. Dicha suma de valores debe de ser inferior al monto del contrato original objeto del arbitraje. Finalmente, a dicho monto se aplicará la Tabla de Cuantía Determinada (Anexo N° 1).</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2"/>
        <w:spacing w:after="240" w:before="239" w:lineRule="auto"/>
        <w:ind w:left="2552" w:hanging="1701"/>
        <w:jc w:val="both"/>
        <w:rPr/>
      </w:pPr>
      <w:bookmarkStart w:colFirst="0" w:colLast="0" w:name="_heading=h.wr86vykcbko7" w:id="83"/>
      <w:bookmarkEnd w:id="83"/>
      <w:r w:rsidDel="00000000" w:rsidR="00000000" w:rsidRPr="00000000">
        <w:rPr>
          <w:rtl w:val="0"/>
        </w:rPr>
        <w:t xml:space="preserve">Artículo 6.- Cálculo de Gastos Arbitrales: Cuantía mixta del Centro</w:t>
      </w:r>
    </w:p>
    <w:p w:rsidR="00000000" w:rsidDel="00000000" w:rsidP="00000000" w:rsidRDefault="00000000" w:rsidRPr="00000000" w14:paraId="000003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cálculo de los gastos para controversias con pretensiones de cuantía mixta como primer paso, se contabilizará la cantidad de pretensiones indeterminadas. Acto seguido, por cada pretensión indeterminada, se tomará el 6.2% del monto del contrato original objeto del arbitraje. Dicha suma debe de ser inferior al monto del contrato original objeto del arbitraje.</w:t>
      </w:r>
    </w:p>
    <w:p w:rsidR="00000000" w:rsidDel="00000000" w:rsidP="00000000" w:rsidRDefault="00000000" w:rsidRPr="00000000" w14:paraId="000003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1"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Luego, se sumará la cuantía total de las pretensiones determinadas. Esto será sumado al monto resultante de las pretensiones de cuantía indeterminada antes calculada. Finalmente, a dicha sumatoria se aplicará la Tabla de Cuantía Determinada (Anexo N° 1).</w:t>
      </w:r>
    </w:p>
    <w:p w:rsidR="00000000" w:rsidDel="00000000" w:rsidP="00000000" w:rsidRDefault="00000000" w:rsidRPr="00000000" w14:paraId="0000030B">
      <w:pPr>
        <w:pStyle w:val="Heading2"/>
        <w:spacing w:after="240" w:before="239" w:lineRule="auto"/>
        <w:ind w:left="2552" w:hanging="1701"/>
        <w:jc w:val="both"/>
        <w:rPr/>
      </w:pPr>
      <w:bookmarkStart w:colFirst="0" w:colLast="0" w:name="_heading=h.23vaf9tga2g" w:id="84"/>
      <w:bookmarkEnd w:id="84"/>
      <w:r w:rsidDel="00000000" w:rsidR="00000000" w:rsidRPr="00000000">
        <w:rPr>
          <w:rtl w:val="0"/>
        </w:rPr>
        <w:t xml:space="preserve">Artículo 7.- Cálculo Gastos Arbitrales: Cuantía determinada del Árbitro</w:t>
      </w:r>
    </w:p>
    <w:p w:rsidR="00000000" w:rsidDel="00000000" w:rsidP="00000000" w:rsidRDefault="00000000" w:rsidRPr="00000000" w14:paraId="0000030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240" w:before="1" w:line="276" w:lineRule="auto"/>
        <w:ind w:left="1134"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cálculo de los honorarios profesionales de los árbitros para controversias con pretensiones de cuantía determinada como primer paso, se sumará la cuantía total de las pretensiones determinadas. Acto seguido, se aplicará la Tabla de Cuantía Determinada (Anexo N° 1), dependiendo si se trata de un árbitro único o tribunal arbitral.</w:t>
      </w:r>
    </w:p>
    <w:p w:rsidR="00000000" w:rsidDel="00000000" w:rsidP="00000000" w:rsidRDefault="00000000" w:rsidRPr="00000000" w14:paraId="0000030D">
      <w:pPr>
        <w:spacing w:after="240" w:before="1" w:line="276" w:lineRule="auto"/>
        <w:rPr/>
      </w:pPr>
      <w:r w:rsidDel="00000000" w:rsidR="00000000" w:rsidRPr="00000000">
        <w:rPr>
          <w:rtl w:val="0"/>
        </w:rPr>
      </w:r>
    </w:p>
    <w:p w:rsidR="00000000" w:rsidDel="00000000" w:rsidP="00000000" w:rsidRDefault="00000000" w:rsidRPr="00000000" w14:paraId="0000030E">
      <w:pPr>
        <w:pStyle w:val="Heading2"/>
        <w:spacing w:after="240" w:before="239" w:lineRule="auto"/>
        <w:ind w:left="2552" w:hanging="1701"/>
        <w:jc w:val="both"/>
        <w:rPr/>
      </w:pPr>
      <w:bookmarkStart w:colFirst="0" w:colLast="0" w:name="_heading=h.uqis3piolnfz" w:id="85"/>
      <w:bookmarkEnd w:id="85"/>
      <w:r w:rsidDel="00000000" w:rsidR="00000000" w:rsidRPr="00000000">
        <w:rPr>
          <w:rtl w:val="0"/>
        </w:rPr>
        <w:t xml:space="preserve">Artículo 8.- Cálculo Gastos Arbitrales: Cuantía indeterminada del Árbitro</w:t>
      </w:r>
    </w:p>
    <w:p w:rsidR="00000000" w:rsidDel="00000000" w:rsidP="00000000" w:rsidRDefault="00000000" w:rsidRPr="00000000" w14:paraId="0000030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240" w:before="254" w:line="276" w:lineRule="auto"/>
        <w:ind w:left="1003"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cálculo de los honorarios profesionales de los árbitros para controversias con pretensiones de cuantía indeterminada consiste en contabilizar el número de pretensiones indeterminadas. Ver Tabla de Cuantía Indeterminada (Anexo N° 2).</w:t>
      </w:r>
    </w:p>
    <w:p w:rsidR="00000000" w:rsidDel="00000000" w:rsidP="00000000" w:rsidRDefault="00000000" w:rsidRPr="00000000" w14:paraId="0000031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240" w:before="254" w:line="276" w:lineRule="auto"/>
        <w:ind w:left="1003" w:right="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Acto seguido, por cada pretensión indeterminada, se tomará el 6.2% del monto del contrato original objeto del arbitraje. Dicha suma de valores debe de ser inferior al monto del contrato original objeto del arbitraje. Finalmente, a dicho monto se aplicará la Tabla de Cuantía Determinada (Anexo N° 1), dependiendo si se trata de un árbitro único o tribunal arbitral.</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2"/>
        <w:spacing w:after="240" w:before="239" w:lineRule="auto"/>
        <w:ind w:left="2552" w:hanging="1701"/>
        <w:jc w:val="both"/>
        <w:rPr/>
      </w:pPr>
      <w:bookmarkStart w:colFirst="0" w:colLast="0" w:name="_heading=h.6mg7z753sdef" w:id="86"/>
      <w:bookmarkEnd w:id="86"/>
      <w:r w:rsidDel="00000000" w:rsidR="00000000" w:rsidRPr="00000000">
        <w:rPr>
          <w:rtl w:val="0"/>
        </w:rPr>
        <w:t xml:space="preserve">Artículo 9.- Cálculo Gastos Arbitrales: Cuantía mixta del Árbitro</w:t>
      </w:r>
    </w:p>
    <w:p w:rsidR="00000000" w:rsidDel="00000000" w:rsidP="00000000" w:rsidRDefault="00000000" w:rsidRPr="00000000" w14:paraId="0000031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240" w:before="0" w:line="276" w:lineRule="auto"/>
        <w:ind w:left="1134"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cálculo de los honorarios profesionales de los árbitros para controversias con pretensiones de cuantía mixta: como primer paso, se contabilizará la cantidad de pretensiones indeterminadas. Acto seguido, por cada pretensión indeterminada, se tomará el 6.2% del monto del contrato original objeto del arbitraje. Dicha suma de valores debe de ser inferior al monto del contrato original objeto del arbitraje.</w:t>
      </w:r>
    </w:p>
    <w:p w:rsidR="00000000" w:rsidDel="00000000" w:rsidP="00000000" w:rsidRDefault="00000000" w:rsidRPr="00000000" w14:paraId="0000031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240" w:before="0" w:line="276" w:lineRule="auto"/>
        <w:ind w:left="1134"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Luego, se sumará la cuantía total de las pretensiones determinadas. Esto será sumado al monto resultante de las pretensiones de cuantía indeterminada antes calculada. Finalmente, a dicha sumatoria se aplicará la Tabla de Cuantía Determinada (Anexo N° 1), dependiendo si se trata de un árbitro único o tribunal arbitral.</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pStyle w:val="Heading2"/>
        <w:spacing w:after="240" w:before="239" w:lineRule="auto"/>
        <w:ind w:left="2552" w:hanging="1701"/>
        <w:jc w:val="both"/>
        <w:rPr/>
      </w:pPr>
      <w:bookmarkStart w:colFirst="0" w:colLast="0" w:name="_heading=h.eeze4met0d88" w:id="87"/>
      <w:bookmarkEnd w:id="87"/>
      <w:r w:rsidDel="00000000" w:rsidR="00000000" w:rsidRPr="00000000">
        <w:rPr>
          <w:rtl w:val="0"/>
        </w:rPr>
        <w:t xml:space="preserve">Artículo 10.- Cálculo Gastos Arbitrales: Cuantía mixta del Árbitro</w:t>
      </w:r>
    </w:p>
    <w:p w:rsidR="00000000" w:rsidDel="00000000" w:rsidP="00000000" w:rsidRDefault="00000000" w:rsidRPr="00000000" w14:paraId="000003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76" w:lineRule="auto"/>
        <w:ind w:left="1275.5905511811022" w:right="0" w:hanging="43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gastos del Árbitro de emergencia son tarifas fijas independientemente de la cuantía según lo establecido en el Anexo 4.</w:t>
      </w:r>
    </w:p>
    <w:p w:rsidR="00000000" w:rsidDel="00000000" w:rsidP="00000000" w:rsidRDefault="00000000" w:rsidRPr="00000000" w14:paraId="00000318">
      <w:pPr>
        <w:pStyle w:val="Heading1"/>
        <w:spacing w:after="0" w:before="250" w:lineRule="auto"/>
        <w:ind w:firstLine="282"/>
        <w:rPr/>
      </w:pPr>
      <w:bookmarkStart w:colFirst="0" w:colLast="0" w:name="_heading=h.hi0xb1e6biuh" w:id="88"/>
      <w:bookmarkEnd w:id="88"/>
      <w:r w:rsidDel="00000000" w:rsidR="00000000" w:rsidRPr="00000000">
        <w:rPr>
          <w:rtl w:val="0"/>
        </w:rPr>
      </w:r>
    </w:p>
    <w:p w:rsidR="00000000" w:rsidDel="00000000" w:rsidP="00000000" w:rsidRDefault="00000000" w:rsidRPr="00000000" w14:paraId="00000319">
      <w:pPr>
        <w:pStyle w:val="Heading1"/>
        <w:spacing w:after="0" w:before="250" w:lineRule="auto"/>
        <w:ind w:firstLine="282"/>
        <w:rPr/>
      </w:pPr>
      <w:bookmarkStart w:colFirst="0" w:colLast="0" w:name="_heading=h.rk34g6bddnzj" w:id="89"/>
      <w:bookmarkEnd w:id="89"/>
      <w:r w:rsidDel="00000000" w:rsidR="00000000" w:rsidRPr="00000000">
        <w:rPr>
          <w:rtl w:val="0"/>
        </w:rPr>
        <w:t xml:space="preserve">ANEXOS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Anexo N° 1: Tabla de Gastos Arbitrales Pretensiones </w:t>
      </w:r>
      <w:r w:rsidDel="00000000" w:rsidR="00000000" w:rsidRPr="00000000">
        <w:rPr>
          <w:rtl w:val="0"/>
        </w:rPr>
        <w:t xml:space="preserve">Determinadas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Anexo N° 2: Tabla de Gastos Arbitrales Pretensiones Indeterminadas.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Anexo N° 3: Tabla de Gastos Arbitrales Administrativos del Centro.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Anexo N° 4: Tabla de Gastos Arbitrales del Árbitro de Emergencia.</w:t>
      </w:r>
    </w:p>
    <w:p w:rsidR="00000000" w:rsidDel="00000000" w:rsidP="00000000" w:rsidRDefault="00000000" w:rsidRPr="00000000" w14:paraId="0000031E">
      <w:pPr>
        <w:pStyle w:val="Heading2"/>
        <w:spacing w:after="240" w:lineRule="auto"/>
        <w:ind w:left="282" w:firstLine="0"/>
        <w:rPr/>
      </w:pPr>
      <w:bookmarkStart w:colFirst="0" w:colLast="0" w:name="_heading=h.ol1zv4sw9i9v" w:id="90"/>
      <w:bookmarkEnd w:id="90"/>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spacing w:after="240" w:lineRule="auto"/>
        <w:ind w:left="282" w:firstLine="0"/>
        <w:rPr/>
      </w:pPr>
      <w:bookmarkStart w:colFirst="0" w:colLast="0" w:name="_heading=h.zhqu5lm4dwkk" w:id="91"/>
      <w:bookmarkEnd w:id="91"/>
      <w:r w:rsidDel="00000000" w:rsidR="00000000" w:rsidRPr="00000000">
        <w:rPr>
          <w:rtl w:val="0"/>
        </w:rPr>
        <w:t xml:space="preserve">ANEXO N° 1: Tabla de Gastos Arbitrales Pretensiones Determinadas</w:t>
      </w:r>
    </w:p>
    <w:tbl>
      <w:tblPr>
        <w:tblStyle w:val="Table3"/>
        <w:tblW w:w="882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35"/>
        <w:gridCol w:w="1695"/>
        <w:gridCol w:w="2100"/>
        <w:gridCol w:w="2115"/>
        <w:gridCol w:w="2175"/>
        <w:tblGridChange w:id="0">
          <w:tblGrid>
            <w:gridCol w:w="735"/>
            <w:gridCol w:w="1695"/>
            <w:gridCol w:w="2100"/>
            <w:gridCol w:w="2115"/>
            <w:gridCol w:w="2175"/>
          </w:tblGrid>
        </w:tblGridChange>
      </w:tblGrid>
      <w:tr>
        <w:trPr>
          <w:cantSplit w:val="0"/>
          <w:trHeight w:val="893" w:hRule="atLeast"/>
          <w:tblHeader w:val="1"/>
        </w:trPr>
        <w:tc>
          <w:tcPr>
            <w:shd w:fill="c8daf8" w:val="cle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N°</w:t>
            </w:r>
          </w:p>
        </w:tc>
        <w:tc>
          <w:tcPr>
            <w:shd w:fill="c8daf8" w:val="cle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129"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Cuantía en Controversia (soles)</w:t>
            </w:r>
          </w:p>
        </w:tc>
        <w:tc>
          <w:tcPr>
            <w:shd w:fill="c8daf8" w:val="clear"/>
            <w:vAlign w:val="bottom"/>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3" w:right="146"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Tasa administrativa del Centro (no incluye IGV)</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S/</w:t>
            </w:r>
          </w:p>
        </w:tc>
        <w:tc>
          <w:tcPr>
            <w:shd w:fill="c8daf8" w:val="cle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11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Honorarios Tribunal Arbitral (no incluye impuestos)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11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S/</w:t>
            </w:r>
          </w:p>
        </w:tc>
        <w:tc>
          <w:tcPr>
            <w:shd w:fill="c8daf8" w:val="cle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11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Honorarios Árbitro Único (no incluye impuestos)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11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S/</w:t>
            </w:r>
          </w:p>
        </w:tc>
      </w:tr>
      <w:tr>
        <w:trPr>
          <w:cantSplit w:val="0"/>
          <w:trHeight w:val="453" w:hRule="atLeast"/>
          <w:tblHeader w:val="0"/>
        </w:trPr>
        <w:tc>
          <w:tcP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Z(</w:t>
            </w:r>
            <w:r w:rsidDel="00000000" w:rsidR="00000000" w:rsidRPr="00000000">
              <w:rPr>
                <w:b w:val="1"/>
                <w:bCs w:val="1"/>
                <w:sz w:val="20"/>
                <w:szCs w:val="20"/>
                <w:rtl w:val="0"/>
              </w:rPr>
              <w:t xml:space="preserve">a)</w:t>
            </w:r>
            <w:r w:rsidDel="00000000" w:rsidR="00000000" w:rsidRPr="00000000">
              <w:rPr>
                <w:rtl w:val="0"/>
              </w:rPr>
            </w:r>
          </w:p>
        </w:tc>
        <w:tc>
          <w:tcP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Hasta 0 - </w:t>
            </w:r>
            <w:r w:rsidDel="00000000" w:rsidR="00000000" w:rsidRPr="00000000">
              <w:rPr>
                <w:sz w:val="20"/>
                <w:szCs w:val="20"/>
                <w:rtl w:val="0"/>
              </w:rPr>
              <w:t xml:space="preserve">1</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5,000</w:t>
            </w:r>
            <w:r w:rsidDel="00000000" w:rsidR="00000000" w:rsidRPr="00000000">
              <w:rPr>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500</w:t>
            </w:r>
          </w:p>
        </w:tc>
        <w:tc>
          <w:tcP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 aplica </w:t>
            </w:r>
            <w:r w:rsidDel="00000000" w:rsidR="00000000" w:rsidRPr="00000000">
              <w:rPr>
                <w:sz w:val="20"/>
                <w:szCs w:val="20"/>
                <w:rtl w:val="0"/>
              </w:rPr>
              <w:t xml:space="preserve">(árbitro único)</w:t>
            </w:r>
            <w:r w:rsidDel="00000000" w:rsidR="00000000" w:rsidRPr="00000000">
              <w:rPr>
                <w:rtl w:val="0"/>
              </w:rPr>
            </w:r>
          </w:p>
        </w:tc>
        <w:tc>
          <w:tcP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2,500</w:t>
            </w:r>
          </w:p>
        </w:tc>
      </w:tr>
      <w:tr>
        <w:trPr>
          <w:cantSplit w:val="0"/>
          <w:trHeight w:val="453" w:hRule="atLeast"/>
          <w:tblHeader w:val="0"/>
        </w:trPr>
        <w:tc>
          <w:tcPr>
            <w:vAlign w:val="center"/>
          </w:tcPr>
          <w:p w:rsidR="00000000" w:rsidDel="00000000" w:rsidP="00000000" w:rsidRDefault="00000000" w:rsidRPr="00000000" w14:paraId="00000336">
            <w:pPr>
              <w:ind w:left="20" w:firstLine="0"/>
              <w:jc w:val="center"/>
              <w:rPr>
                <w:b w:val="1"/>
                <w:bCs w:val="1"/>
                <w:sz w:val="20"/>
                <w:szCs w:val="20"/>
              </w:rPr>
            </w:pPr>
            <w:r w:rsidDel="00000000" w:rsidR="00000000" w:rsidRPr="00000000">
              <w:rPr>
                <w:b w:val="1"/>
                <w:bCs w:val="1"/>
                <w:sz w:val="20"/>
                <w:szCs w:val="20"/>
                <w:rtl w:val="0"/>
              </w:rPr>
              <w:t xml:space="preserve">Z(b)</w:t>
            </w:r>
          </w:p>
        </w:tc>
        <w:tc>
          <w:tcPr>
            <w:vAlign w:val="center"/>
          </w:tcPr>
          <w:p w:rsidR="00000000" w:rsidDel="00000000" w:rsidP="00000000" w:rsidRDefault="00000000" w:rsidRPr="00000000" w14:paraId="00000337">
            <w:pPr>
              <w:ind w:left="173" w:right="126" w:firstLine="0"/>
              <w:jc w:val="center"/>
              <w:rPr>
                <w:sz w:val="20"/>
                <w:szCs w:val="20"/>
              </w:rPr>
            </w:pPr>
            <w:r w:rsidDel="00000000" w:rsidR="00000000" w:rsidRPr="00000000">
              <w:rPr>
                <w:sz w:val="20"/>
                <w:szCs w:val="20"/>
                <w:rtl w:val="0"/>
              </w:rPr>
              <w:t xml:space="preserve">Hasta 15,001 - 75,000</w:t>
            </w:r>
          </w:p>
        </w:tc>
        <w:tc>
          <w:tcPr>
            <w:vAlign w:val="center"/>
          </w:tcPr>
          <w:p w:rsidR="00000000" w:rsidDel="00000000" w:rsidP="00000000" w:rsidRDefault="00000000" w:rsidRPr="00000000" w14:paraId="00000338">
            <w:pPr>
              <w:ind w:left="133" w:firstLine="0"/>
              <w:jc w:val="center"/>
              <w:rPr>
                <w:sz w:val="20"/>
                <w:szCs w:val="20"/>
              </w:rPr>
            </w:pPr>
            <w:r w:rsidDel="00000000" w:rsidR="00000000" w:rsidRPr="00000000">
              <w:rPr>
                <w:sz w:val="20"/>
                <w:szCs w:val="20"/>
                <w:rtl w:val="0"/>
              </w:rPr>
              <w:t xml:space="preserve">1500</w:t>
            </w:r>
          </w:p>
        </w:tc>
        <w:tc>
          <w:tcPr>
            <w:vAlign w:val="center"/>
          </w:tcPr>
          <w:p w:rsidR="00000000" w:rsidDel="00000000" w:rsidP="00000000" w:rsidRDefault="00000000" w:rsidRPr="00000000" w14:paraId="00000339">
            <w:pPr>
              <w:ind w:left="46" w:firstLine="0"/>
              <w:jc w:val="center"/>
              <w:rPr>
                <w:sz w:val="20"/>
                <w:szCs w:val="20"/>
              </w:rPr>
            </w:pPr>
            <w:r w:rsidDel="00000000" w:rsidR="00000000" w:rsidRPr="00000000">
              <w:rPr>
                <w:sz w:val="20"/>
                <w:szCs w:val="20"/>
                <w:rtl w:val="0"/>
              </w:rPr>
              <w:t xml:space="preserve">No aplica (árbitro único)</w:t>
            </w:r>
          </w:p>
        </w:tc>
        <w:tc>
          <w:tcPr>
            <w:vAlign w:val="center"/>
          </w:tcPr>
          <w:p w:rsidR="00000000" w:rsidDel="00000000" w:rsidP="00000000" w:rsidRDefault="00000000" w:rsidRPr="00000000" w14:paraId="0000033A">
            <w:pPr>
              <w:ind w:left="133" w:firstLine="0"/>
              <w:jc w:val="center"/>
              <w:rPr>
                <w:sz w:val="20"/>
                <w:szCs w:val="20"/>
              </w:rPr>
            </w:pPr>
            <w:r w:rsidDel="00000000" w:rsidR="00000000" w:rsidRPr="00000000">
              <w:rPr>
                <w:sz w:val="20"/>
                <w:szCs w:val="20"/>
                <w:rtl w:val="0"/>
              </w:rPr>
              <w:t xml:space="preserve">5,500</w:t>
            </w:r>
          </w:p>
        </w:tc>
      </w:tr>
      <w:tr>
        <w:trPr>
          <w:cantSplit w:val="0"/>
          <w:trHeight w:val="544" w:hRule="atLeast"/>
          <w:tblHeader w:val="0"/>
        </w:trPr>
        <w:tc>
          <w:tcPr>
            <w:shd w:fill="f1f1f1" w:val="cle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w:t>
            </w:r>
          </w:p>
        </w:tc>
        <w:tc>
          <w:tcPr>
            <w:shd w:fill="f1f1f1" w:val="cle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5,001 - 145,000</w:t>
            </w:r>
          </w:p>
        </w:tc>
        <w:tc>
          <w:tcPr>
            <w:shd w:fill="f1f1f1"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3,000</w:t>
            </w:r>
          </w:p>
        </w:tc>
        <w:tc>
          <w:tcPr>
            <w:shd w:fill="f1f1f1" w:val="cle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15,000</w:t>
            </w:r>
          </w:p>
        </w:tc>
        <w:tc>
          <w:tcPr>
            <w:shd w:fill="f1f1f1" w:val="cle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7,000</w:t>
            </w:r>
          </w:p>
        </w:tc>
      </w:tr>
      <w:tr>
        <w:trPr>
          <w:cantSplit w:val="0"/>
          <w:trHeight w:val="540" w:hRule="atLeast"/>
          <w:tblHeader w:val="0"/>
        </w:trPr>
        <w:tc>
          <w:tcPr>
            <w:shd w:fill="f1f1f1" w:val="cle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B</w:t>
            </w:r>
          </w:p>
        </w:tc>
        <w:tc>
          <w:tcPr>
            <w:shd w:fill="f1f1f1"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145,001 - 290,000</w:t>
            </w:r>
          </w:p>
        </w:tc>
        <w:tc>
          <w:tcPr>
            <w:shd w:fill="f1f1f1"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5,000</w:t>
            </w:r>
          </w:p>
        </w:tc>
        <w:tc>
          <w:tcPr>
            <w:shd w:fill="f1f1f1" w:val="cle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21,000</w:t>
            </w:r>
          </w:p>
        </w:tc>
        <w:tc>
          <w:tcPr>
            <w:shd w:fill="f1f1f1" w:val="cle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9,500</w:t>
            </w:r>
          </w:p>
        </w:tc>
      </w:tr>
      <w:tr>
        <w:trPr>
          <w:cantSplit w:val="0"/>
          <w:trHeight w:val="544" w:hRule="atLeast"/>
          <w:tblHeader w:val="0"/>
        </w:trPr>
        <w:tc>
          <w:tcPr>
            <w:shd w:fill="f1f1f1"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w:t>
            </w:r>
          </w:p>
        </w:tc>
        <w:tc>
          <w:tcPr>
            <w:shd w:fill="f1f1f1" w:val="cle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290,001 - 870,000</w:t>
            </w:r>
          </w:p>
        </w:tc>
        <w:tc>
          <w:tcPr>
            <w:shd w:fill="f1f1f1" w:val="cle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7,000</w:t>
            </w:r>
          </w:p>
        </w:tc>
        <w:tc>
          <w:tcPr>
            <w:shd w:fill="f1f1f1" w:val="cle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30,000</w:t>
            </w:r>
          </w:p>
        </w:tc>
        <w:tc>
          <w:tcPr>
            <w:shd w:fill="f1f1f1"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12,500</w:t>
            </w:r>
          </w:p>
        </w:tc>
      </w:tr>
      <w:tr>
        <w:trPr>
          <w:cantSplit w:val="0"/>
          <w:trHeight w:val="540" w:hRule="atLeast"/>
          <w:tblHeader w:val="0"/>
        </w:trPr>
        <w:tc>
          <w:tcP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w:t>
            </w:r>
          </w:p>
        </w:tc>
        <w:tc>
          <w:tcP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870,001 - 1´450,000</w:t>
            </w:r>
          </w:p>
        </w:tc>
        <w:tc>
          <w:tcP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10,232</w:t>
            </w:r>
          </w:p>
        </w:tc>
        <w:tc>
          <w:tcP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38,292</w:t>
            </w:r>
          </w:p>
        </w:tc>
        <w:tc>
          <w:tcP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15,317</w:t>
            </w:r>
          </w:p>
        </w:tc>
      </w:tr>
      <w:tr>
        <w:trPr>
          <w:cantSplit w:val="0"/>
          <w:trHeight w:val="544" w:hRule="atLeast"/>
          <w:tblHeader w:val="0"/>
        </w:trPr>
        <w:tc>
          <w:tcP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w:t>
            </w:r>
          </w:p>
        </w:tc>
        <w:tc>
          <w:tcP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1´450,001 - 2´050,000</w:t>
            </w:r>
          </w:p>
        </w:tc>
        <w:tc>
          <w:tcP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15,232</w:t>
            </w:r>
          </w:p>
        </w:tc>
        <w:tc>
          <w:tcP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46,092</w:t>
            </w:r>
          </w:p>
        </w:tc>
        <w:tc>
          <w:tcP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18,437</w:t>
            </w:r>
          </w:p>
        </w:tc>
      </w:tr>
      <w:tr>
        <w:trPr>
          <w:cantSplit w:val="0"/>
          <w:trHeight w:val="541" w:hRule="atLeast"/>
          <w:tblHeader w:val="0"/>
        </w:trPr>
        <w:tc>
          <w:tcP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w:t>
            </w:r>
          </w:p>
        </w:tc>
        <w:tc>
          <w:tcP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2´050,001- 2´900,000</w:t>
            </w:r>
          </w:p>
        </w:tc>
        <w:tc>
          <w:tcP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17,232</w:t>
            </w:r>
          </w:p>
        </w:tc>
        <w:tc>
          <w:tcP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57,142</w:t>
            </w:r>
          </w:p>
        </w:tc>
        <w:tc>
          <w:tcP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22,857</w:t>
            </w:r>
          </w:p>
        </w:tc>
      </w:tr>
      <w:tr>
        <w:trPr>
          <w:cantSplit w:val="0"/>
          <w:trHeight w:val="947" w:hRule="atLeast"/>
          <w:tblHeader w:val="0"/>
        </w:trPr>
        <w:tc>
          <w:tcP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G</w:t>
            </w:r>
          </w:p>
        </w:tc>
        <w:tc>
          <w:tcP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2´900,001- 14´500,000</w:t>
            </w:r>
          </w:p>
        </w:tc>
        <w:tc>
          <w:tcP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16,500 + 0.35%</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2´900,000</w:t>
            </w:r>
          </w:p>
        </w:tc>
        <w:tc>
          <w:tcP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57,142 + 0.80%</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2´900,000</w:t>
            </w:r>
          </w:p>
        </w:tc>
        <w:tc>
          <w:tcP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22,857 + 0.70%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2´900,000</w:t>
            </w:r>
          </w:p>
        </w:tc>
      </w:tr>
      <w:tr>
        <w:trPr>
          <w:cantSplit w:val="0"/>
          <w:trHeight w:val="942" w:hRule="atLeast"/>
          <w:tblHeader w:val="0"/>
        </w:trPr>
        <w:tc>
          <w:tcP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H</w:t>
            </w:r>
          </w:p>
        </w:tc>
        <w:tc>
          <w:tcP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14´500,001 - 80´000,000</w:t>
            </w:r>
          </w:p>
        </w:tc>
        <w:tc>
          <w:tcP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55,100 + 0.30%</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14´500,000</w:t>
            </w:r>
          </w:p>
        </w:tc>
        <w:tc>
          <w:tcP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149,942 + 0.70%</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14´500,000</w:t>
            </w:r>
          </w:p>
        </w:tc>
        <w:tc>
          <w:tcP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59,977 + 0.23%</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14´500,000</w:t>
            </w:r>
          </w:p>
        </w:tc>
      </w:tr>
      <w:tr>
        <w:trPr>
          <w:cantSplit w:val="0"/>
          <w:trHeight w:val="947" w:hRule="atLeast"/>
          <w:tblHeader w:val="0"/>
        </w:trPr>
        <w:tc>
          <w:tcP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w:t>
            </w:r>
          </w:p>
        </w:tc>
        <w:tc>
          <w:tcP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14"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80´000,001 - 160´000,000</w:t>
            </w:r>
          </w:p>
        </w:tc>
        <w:tc>
          <w:tcP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200,000 + 0.20%</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80´000,000</w:t>
            </w:r>
          </w:p>
        </w:tc>
        <w:tc>
          <w:tcP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549,142 + 0.60%</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80´000,000</w:t>
            </w:r>
          </w:p>
        </w:tc>
        <w:tc>
          <w:tcP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200,000 + 0.20%</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4"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80´000,000</w:t>
            </w:r>
          </w:p>
        </w:tc>
      </w:tr>
      <w:tr>
        <w:trPr>
          <w:cantSplit w:val="0"/>
          <w:trHeight w:val="946" w:hRule="atLeast"/>
          <w:tblHeader w:val="0"/>
        </w:trPr>
        <w:tc>
          <w:tcP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J</w:t>
            </w:r>
          </w:p>
        </w:tc>
        <w:tc>
          <w:tcP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73" w:right="126"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160´000,001-320´000,000</w:t>
            </w:r>
          </w:p>
        </w:tc>
        <w:tc>
          <w:tcP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300,000 + 0.15%</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160´000,000</w:t>
            </w:r>
          </w:p>
        </w:tc>
        <w:tc>
          <w:tcP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755,100 + 0.50%</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160´000,000</w:t>
            </w:r>
          </w:p>
        </w:tc>
        <w:tc>
          <w:tcP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300,000 + 0.15%</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160´000,000</w:t>
            </w:r>
          </w:p>
        </w:tc>
      </w:tr>
      <w:tr>
        <w:trPr>
          <w:cantSplit w:val="0"/>
          <w:trHeight w:val="942" w:hRule="atLeast"/>
          <w:tblHeader w:val="0"/>
        </w:trPr>
        <w:tc>
          <w:tcP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K</w:t>
            </w:r>
          </w:p>
        </w:tc>
        <w:tc>
          <w:tcP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320´000,001-640´000,000</w:t>
            </w:r>
          </w:p>
        </w:tc>
        <w:tc>
          <w:tcP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400,000 + 0.10%</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320´000,000</w:t>
            </w:r>
          </w:p>
        </w:tc>
        <w:tc>
          <w:tcP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1´055,100 + 0.40%</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 w:right="0" w:hanging="288"/>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320´000,000</w:t>
            </w:r>
          </w:p>
        </w:tc>
        <w:tc>
          <w:tcP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400,000 + 0.10%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aplicado a la cuantía que excede a 320´000,000</w:t>
            </w:r>
          </w:p>
        </w:tc>
      </w:tr>
      <w:tr>
        <w:trPr>
          <w:cantSplit w:val="0"/>
          <w:trHeight w:val="332" w:hRule="atLeast"/>
          <w:tblHeader w:val="0"/>
        </w:trPr>
        <w:tc>
          <w:tcP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L</w:t>
            </w:r>
          </w:p>
        </w:tc>
        <w:tc>
          <w:tcP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 w:right="12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640´000,001 a más</w:t>
            </w:r>
          </w:p>
        </w:tc>
        <w:tc>
          <w:tcP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900,000</w:t>
            </w:r>
          </w:p>
        </w:tc>
        <w:tc>
          <w:tcP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2´700,000</w:t>
            </w:r>
          </w:p>
        </w:tc>
        <w:tc>
          <w:tcP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900,000</w:t>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pStyle w:val="Heading5"/>
        <w:spacing w:after="240" w:lineRule="auto"/>
        <w:ind w:firstLine="282"/>
        <w:jc w:val="both"/>
        <w:rPr/>
      </w:pPr>
      <w:bookmarkStart w:colFirst="0" w:colLast="0" w:name="_heading=h.r6j7s5zdmmlq" w:id="92"/>
      <w:bookmarkEnd w:id="92"/>
      <w:r w:rsidDel="00000000" w:rsidR="00000000" w:rsidRPr="00000000">
        <w:rPr>
          <w:rtl w:val="0"/>
        </w:rPr>
        <w:t xml:space="preserve">Gastos rubro Z:</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Z(a)</w:t>
      </w:r>
      <w:r w:rsidDel="00000000" w:rsidR="00000000" w:rsidRPr="00000000">
        <w:rPr>
          <w:rtl w:val="0"/>
        </w:rPr>
        <w:t xml:space="preserve"> 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tarifa del “Arbitraje Social” es única y es la tarifa prevista en el rubro “Z” de la Tabla de Gastos Arbitrales para las Pretensiones Determinadas. La tarifa social es una tarifa fija siempre que el monto de la controversia no exceda de S/. </w:t>
      </w:r>
      <w:r w:rsidDel="00000000" w:rsidR="00000000" w:rsidRPr="00000000">
        <w:rPr>
          <w:rtl w:val="0"/>
        </w:rPr>
        <w:t xml:space="preserve">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5,000.00. En este caso, las controversias se resuelven por </w:t>
      </w:r>
      <w:r w:rsidDel="00000000" w:rsidR="00000000" w:rsidRPr="00000000">
        <w:rPr>
          <w:rtl w:val="0"/>
        </w:rPr>
        <w:t xml:space="preserve">árbitro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único. En el “Arbitraje Social” las partes están exoneradas del pago del Anexo 3 Tabla de Gastos Arbitrales Administrativos del Centro (designaciones residuales, resolución de recusaciones y otros), según corresponda.</w:t>
      </w:r>
    </w:p>
    <w:p w:rsidR="00000000" w:rsidDel="00000000" w:rsidP="00000000" w:rsidRDefault="00000000" w:rsidRPr="00000000" w14:paraId="00000389">
      <w:pPr>
        <w:spacing w:after="240" w:before="40" w:line="276" w:lineRule="auto"/>
        <w:ind w:left="282" w:firstLine="0"/>
        <w:jc w:val="both"/>
        <w:rPr/>
      </w:pPr>
      <w:r w:rsidDel="00000000" w:rsidR="00000000" w:rsidRPr="00000000">
        <w:rPr>
          <w:b w:val="1"/>
          <w:bCs w:val="1"/>
          <w:rtl w:val="0"/>
        </w:rPr>
        <w:t xml:space="preserve">Z(b)</w:t>
      </w:r>
      <w:r w:rsidDel="00000000" w:rsidR="00000000" w:rsidRPr="00000000">
        <w:rPr>
          <w:rtl w:val="0"/>
        </w:rPr>
        <w:t xml:space="preserve"> la tarifa del “Arbitraje Social” es única y es la tarifa prevista en el rubro “Z” de la Tabla de Gastos Arbitrales para las Pretensiones Determinadas. La tarifa social es una tarifa fija siempre que el monto de la controversia no exceda de S/. 75,000.00. En este caso, las controversias se resuelven por árbitro único. En el “Arbitraje Social” las partes están exoneradas del pago del Anexo 3 Tabla de Gastos Arbitrales Administrativos del Centro (designaciones residuales, resolución de recusaciones y otros), según corresponda.</w:t>
      </w:r>
    </w:p>
    <w:p w:rsidR="00000000" w:rsidDel="00000000" w:rsidP="00000000" w:rsidRDefault="00000000" w:rsidRPr="00000000" w14:paraId="0000038A">
      <w:pPr>
        <w:pStyle w:val="Heading5"/>
        <w:spacing w:after="240" w:lineRule="auto"/>
        <w:ind w:firstLine="282"/>
        <w:jc w:val="both"/>
        <w:rPr/>
      </w:pPr>
      <w:bookmarkStart w:colFirst="0" w:colLast="0" w:name="_heading=h.hn5cu3g7ep3" w:id="93"/>
      <w:bookmarkEnd w:id="93"/>
      <w:r w:rsidDel="00000000" w:rsidR="00000000" w:rsidRPr="00000000">
        <w:rPr>
          <w:rtl w:val="0"/>
        </w:rPr>
        <w:t xml:space="preserve">Gastos rubro A, B y C:</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0" w:line="278.00000000000006" w:lineRule="auto"/>
        <w:ind w:left="282" w:right="0" w:firstLine="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tarifas del “Arbitraje Acelerado” son tarifas fijas dentro del rango del monto de controversia previstas en el rubro “A”, “B”, y “C” del Anexo 1 Tabla de Gastos Arbitrales Pretensiones Determinadas.</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controversias se resuelven por árbitro único, salvo que el convenio arbitral disponga que la controversia se resuelve por tribunal arbitral en cuyo caso la tarifa es de S/ 15,000, S/ 21,000 y S/30,000 para la escala A, B y C, respectivamente.</w:t>
      </w:r>
    </w:p>
    <w:p w:rsidR="00000000" w:rsidDel="00000000" w:rsidP="00000000" w:rsidRDefault="00000000" w:rsidRPr="00000000" w14:paraId="0000038D">
      <w:pPr>
        <w:pStyle w:val="Heading5"/>
        <w:spacing w:after="240" w:lineRule="auto"/>
        <w:ind w:firstLine="282"/>
        <w:jc w:val="both"/>
        <w:rPr/>
      </w:pPr>
      <w:bookmarkStart w:colFirst="0" w:colLast="0" w:name="_heading=h.iv9m12u6vnvn" w:id="94"/>
      <w:bookmarkEnd w:id="94"/>
      <w:r w:rsidDel="00000000" w:rsidR="00000000" w:rsidRPr="00000000">
        <w:rPr>
          <w:rtl w:val="0"/>
        </w:rPr>
        <w:t xml:space="preserve">Gastos rubro D a la K:</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este caso, la tarifa del “Arbitraje” para la escala desde la “D” a la “K” son las previstas en el Anexo 1 Tabla de Gastos Arbitrales Pretensiones Determinadas.</w:t>
      </w:r>
    </w:p>
    <w:p w:rsidR="00000000" w:rsidDel="00000000" w:rsidP="00000000" w:rsidRDefault="00000000" w:rsidRPr="00000000" w14:paraId="0000038F">
      <w:pPr>
        <w:pStyle w:val="Heading5"/>
        <w:spacing w:after="240" w:before="89" w:lineRule="auto"/>
        <w:ind w:firstLine="282"/>
        <w:jc w:val="both"/>
        <w:rPr/>
      </w:pPr>
      <w:bookmarkStart w:colFirst="0" w:colLast="0" w:name="_heading=h.is73i4ndth8l" w:id="95"/>
      <w:bookmarkEnd w:id="95"/>
      <w:r w:rsidDel="00000000" w:rsidR="00000000" w:rsidRPr="00000000">
        <w:rPr>
          <w:rtl w:val="0"/>
        </w:rPr>
        <w:t xml:space="preserve">Gastos rubro L:</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4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tarifa a partir del monto de controversia previstos en el rubro “L” es un monto fijo, según el Anexo 1 Tabla de Gastos Arbitrales Pretensiones Determinadas.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tasa administrativa del Centro no incluye gastos adicionales en que pudieran incurrir los árbitros, peritos, terceros o el personal del Centro, para llevar a cabo actuaciones fuera de la sede del arbitraje. Estos gastos están a cargo de las partes según corresponda. Tampoco se encuentran incluidos la tramitación de actuaciones posteriores a la notificación del laudo y sus eventuales solicitudes de rectificación, interpretación, integración y exclusión, incluso si éste fuera anulado. No incluye ejecución del laudo.</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caso la cuantía de la controversia esté en dólares americanos se aplicará el tipo de cambio vigente a la fecha de la presentación de la solicitud de arbitraje.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pStyle w:val="Heading2"/>
        <w:spacing w:after="240" w:line="276" w:lineRule="auto"/>
        <w:ind w:left="282" w:firstLine="0"/>
        <w:jc w:val="both"/>
        <w:rPr/>
      </w:pPr>
      <w:bookmarkStart w:colFirst="0" w:colLast="0" w:name="_heading=h.aikb86anfzqr" w:id="96"/>
      <w:bookmarkEnd w:id="96"/>
      <w:r w:rsidDel="00000000" w:rsidR="00000000" w:rsidRPr="00000000">
        <w:rPr>
          <w:rtl w:val="0"/>
        </w:rPr>
        <w:t xml:space="preserve">ANEXO N° 2: Tabla de Gastos Arbitrales de Pretensiones Indeterminadas</w:t>
      </w:r>
    </w:p>
    <w:tbl>
      <w:tblPr>
        <w:tblStyle w:val="Table4"/>
        <w:tblW w:w="9053.0" w:type="dxa"/>
        <w:jc w:val="left"/>
        <w:tblInd w:w="2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33"/>
        <w:gridCol w:w="709"/>
        <w:gridCol w:w="4111"/>
        <w:tblGridChange w:id="0">
          <w:tblGrid>
            <w:gridCol w:w="4233"/>
            <w:gridCol w:w="709"/>
            <w:gridCol w:w="4111"/>
          </w:tblGrid>
        </w:tblGridChange>
      </w:tblGrid>
      <w:tr>
        <w:trPr>
          <w:cantSplit w:val="0"/>
          <w:trHeight w:val="1576" w:hRule="atLeast"/>
          <w:tblHeader w:val="0"/>
        </w:trPr>
        <w:tc>
          <w:tcPr>
            <w:shd w:fill="cfe1f3"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95" w:line="240" w:lineRule="auto"/>
              <w:ind w:left="240" w:right="0"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Porcentaje aplicable al monto del contrato original objeto del arbitraje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53" w:line="240" w:lineRule="auto"/>
              <w:ind w:left="22"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 el cálculo de honorarios profesionales de los árbitros)</w:t>
            </w:r>
          </w:p>
        </w:tc>
        <w:tc>
          <w:tcPr>
            <w:gridSpan w:val="2"/>
            <w:shd w:fill="cfe1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95" w:line="240" w:lineRule="auto"/>
              <w:ind w:left="239" w:right="0"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Porcentaje aplicable al monto del contrato original objeto del arbitraje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53" w:line="240" w:lineRule="auto"/>
              <w:ind w:left="575" w:right="0" w:firstLine="5"/>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 el caso de gastos administrativos del Centro de Arbitraje)</w:t>
            </w:r>
          </w:p>
        </w:tc>
      </w:tr>
      <w:tr>
        <w:trPr>
          <w:cantSplit w:val="0"/>
          <w:trHeight w:val="324" w:hRule="atLeast"/>
          <w:tblHeader w:val="0"/>
        </w:trPr>
        <w:tc>
          <w:tcPr>
            <w:tcBorders>
              <w:bottom w:color="000000" w:space="0" w:sz="8" w:val="single"/>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0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tc>
        <w:tc>
          <w:tcPr>
            <w:gridSpan w:val="2"/>
            <w:tcBorders>
              <w:bottom w:color="000000" w:space="0" w:sz="8" w:val="single"/>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0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tc>
      </w:tr>
      <w:tr>
        <w:trPr>
          <w:cantSplit w:val="0"/>
          <w:trHeight w:val="250" w:hRule="atLeast"/>
          <w:tblHeader w:val="0"/>
        </w:trPr>
        <w:tc>
          <w:tcPr>
            <w:tcBorders>
              <w:left w:color="000000" w:space="0" w:sz="0" w:val="nil"/>
              <w:right w:color="000000" w:space="0" w:sz="0" w:val="nil"/>
            </w:tcBorders>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0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Suma de valores de las pretensiones indeterminadas</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0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id w:val="676362606"/>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30"/>
                    <w:szCs w:val="30"/>
                    <w:u w:val="none"/>
                    <w:shd w:fill="auto" w:val="clear"/>
                    <w:vertAlign w:val="baseline"/>
                    <w:rtl w:val="0"/>
                  </w:rPr>
                  <w:t xml:space="preserve">≤</w:t>
                </w:r>
              </w:sdtContent>
            </w:sdt>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00" w:line="240" w:lineRule="auto"/>
              <w:ind w:left="2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Monto del contrato original objeto del arbitraje</w:t>
            </w:r>
            <w:r w:rsidDel="00000000" w:rsidR="00000000" w:rsidRPr="00000000">
              <w:rPr>
                <w:rtl w:val="0"/>
              </w:rPr>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8.0000000000000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Por cada pretensión de naturaleza indeterminada presentada por cada parte de un arbitraje, se aplicará al monto del contrato original 6.2% por concepto de tasa administrativa del Centro y también por concepto de honorarios profesionales de los árbitros.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Al monto resultante del punto anterior, se le aplicará el tarifario de cuantías determinadas, tanto para la tasa administrativa del Centro como los honorarios de los árbitros.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caso la(s) parte(s)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presenten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más de una pretensión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indeterminada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 multiplicarán los valores obtenidos según la nota 1, tanto para la Tasa Administrativa del Centro como para fijar los Honorarios de los Árbitros. No se contabilizarán las pretensiones subordinadas, alternativas y aquellas referidas a costas y costos para la determinación del monto a pagar en arbitrajes con cuantías indeterminadas.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valor máximo de las pretensiones indeterminadas no será mayor al monto del contrato original.</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caso sea necesario un reajuste de la Tasa Administrativa del Centro y de los Honorarios de los Árbitros se aplicará el procedimiento antes mencionado en las notas 1, 2 y 3.</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6</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caso el monto del contrato original, no sea determinado entonces la tarifa aplicable será la escala “H” en su monto máximo, tanto para la tasa administrativa como para el tribunal arbitral y árbitro único.</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el caso que una pretensión agrupe un conjunto de pretensiones, la </w:t>
      </w:r>
      <w:r w:rsidDel="00000000" w:rsidR="00000000" w:rsidRPr="00000000">
        <w:rPr>
          <w:rtl w:val="0"/>
        </w:rPr>
        <w:t xml:space="preserve">secretaría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 encuentra facultada para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valorizar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independientemente cada una de ellas.</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82" w:right="0" w:firstLine="0"/>
        <w:jc w:val="both"/>
        <w:rPr/>
      </w:pPr>
      <w:r w:rsidDel="00000000" w:rsidR="00000000" w:rsidRPr="00000000">
        <w:rPr>
          <w:rtl w:val="0"/>
        </w:rPr>
      </w:r>
    </w:p>
    <w:p w:rsidR="00000000" w:rsidDel="00000000" w:rsidP="00000000" w:rsidRDefault="00000000" w:rsidRPr="00000000" w14:paraId="000003AB">
      <w:pPr>
        <w:pStyle w:val="Heading2"/>
        <w:spacing w:after="240" w:lineRule="auto"/>
        <w:ind w:left="282" w:firstLine="0"/>
        <w:jc w:val="both"/>
        <w:rPr/>
      </w:pPr>
      <w:bookmarkStart w:colFirst="0" w:colLast="0" w:name="_heading=h.v8hu5z2srqi8" w:id="97"/>
      <w:bookmarkEnd w:id="97"/>
      <w:r w:rsidDel="00000000" w:rsidR="00000000" w:rsidRPr="00000000">
        <w:rPr>
          <w:rtl w:val="0"/>
        </w:rPr>
        <w:t xml:space="preserve">ANEXO N° 3: Tabla de Gastos Arbitrales Administrativos del Centro</w:t>
      </w:r>
    </w:p>
    <w:tbl>
      <w:tblPr>
        <w:tblStyle w:val="Table5"/>
        <w:tblW w:w="8930.0" w:type="dxa"/>
        <w:jc w:val="left"/>
        <w:tblInd w:w="2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6098"/>
        <w:gridCol w:w="2126"/>
        <w:tblGridChange w:id="0">
          <w:tblGrid>
            <w:gridCol w:w="706"/>
            <w:gridCol w:w="6098"/>
            <w:gridCol w:w="2126"/>
          </w:tblGrid>
        </w:tblGridChange>
      </w:tblGrid>
      <w:tr>
        <w:trPr>
          <w:cantSplit w:val="0"/>
          <w:trHeight w:val="276" w:hRule="atLeast"/>
          <w:tblHeader w:val="0"/>
        </w:trPr>
        <w:tc>
          <w:tcPr>
            <w:shd w:fill="c1e3f5" w:val="clear"/>
            <w:vAlign w:val="bottom"/>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w:t>
            </w:r>
          </w:p>
        </w:tc>
        <w:tc>
          <w:tcPr>
            <w:shd w:fill="c1e3f5" w:val="cle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8"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Concepto</w:t>
            </w:r>
          </w:p>
        </w:tc>
        <w:tc>
          <w:tcPr>
            <w:shd w:fill="c1e3f5" w:val="clear"/>
            <w:vAlign w:val="bottom"/>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5"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Monto sin IGV</w:t>
            </w:r>
          </w:p>
        </w:tc>
      </w:tr>
      <w:tr>
        <w:trPr>
          <w:cantSplit w:val="0"/>
          <w:trHeight w:val="345"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Inicio de Actuaciones Arbitrales y otros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902841</wp:posOffset>
                      </wp:positionH>
                      <wp:positionV relativeFrom="paragraph">
                        <wp:posOffset>-205</wp:posOffset>
                      </wp:positionV>
                      <wp:extent cx="5217160" cy="625475"/>
                      <wp:effectExtent b="0" l="0" r="0" t="0"/>
                      <wp:wrapNone/>
                      <wp:docPr id="60" name=""/>
                      <a:graphic>
                        <a:graphicData uri="http://schemas.microsoft.com/office/word/2010/wordprocessingGroup">
                          <wpg:wgp>
                            <wpg:cNvGrpSpPr/>
                            <wpg:grpSpPr>
                              <a:xfrm>
                                <a:off x="2737400" y="3467250"/>
                                <a:ext cx="5217160" cy="625475"/>
                                <a:chOff x="2737400" y="3467250"/>
                                <a:chExt cx="5217175" cy="625500"/>
                              </a:xfrm>
                            </wpg:grpSpPr>
                            <wpg:grpSp>
                              <wpg:cNvGrpSpPr/>
                              <wpg:grpSpPr>
                                <a:xfrm>
                                  <a:off x="2737420" y="3467263"/>
                                  <a:ext cx="5217160" cy="625475"/>
                                  <a:chOff x="0" y="0"/>
                                  <a:chExt cx="5217160" cy="625475"/>
                                </a:xfrm>
                              </wpg:grpSpPr>
                              <wps:wsp>
                                <wps:cNvSpPr/>
                                <wps:cNvPr id="3" name="Shape 3"/>
                                <wps:spPr>
                                  <a:xfrm>
                                    <a:off x="0" y="0"/>
                                    <a:ext cx="5217150" cy="6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217160" cy="625475"/>
                                  </a:xfrm>
                                  <a:custGeom>
                                    <a:rect b="b" l="l" r="r" t="t"/>
                                    <a:pathLst>
                                      <a:path extrusionOk="0" h="625475" w="5217160">
                                        <a:moveTo>
                                          <a:pt x="3866388" y="317068"/>
                                        </a:moveTo>
                                        <a:lnTo>
                                          <a:pt x="0" y="317068"/>
                                        </a:lnTo>
                                        <a:lnTo>
                                          <a:pt x="0" y="625221"/>
                                        </a:lnTo>
                                        <a:lnTo>
                                          <a:pt x="3866388" y="625221"/>
                                        </a:lnTo>
                                        <a:lnTo>
                                          <a:pt x="3866388" y="317068"/>
                                        </a:lnTo>
                                        <a:close/>
                                      </a:path>
                                      <a:path extrusionOk="0" h="625475" w="5217160">
                                        <a:moveTo>
                                          <a:pt x="5216906" y="317068"/>
                                        </a:moveTo>
                                        <a:lnTo>
                                          <a:pt x="3872484" y="317068"/>
                                        </a:lnTo>
                                        <a:lnTo>
                                          <a:pt x="3872484" y="625221"/>
                                        </a:lnTo>
                                        <a:lnTo>
                                          <a:pt x="5216906" y="625221"/>
                                        </a:lnTo>
                                        <a:lnTo>
                                          <a:pt x="5216906" y="317068"/>
                                        </a:lnTo>
                                        <a:close/>
                                      </a:path>
                                      <a:path extrusionOk="0" h="625475" w="5217160">
                                        <a:moveTo>
                                          <a:pt x="5216906" y="0"/>
                                        </a:moveTo>
                                        <a:lnTo>
                                          <a:pt x="3872484" y="0"/>
                                        </a:lnTo>
                                        <a:lnTo>
                                          <a:pt x="3872484" y="307848"/>
                                        </a:lnTo>
                                        <a:lnTo>
                                          <a:pt x="5216906" y="307848"/>
                                        </a:lnTo>
                                        <a:lnTo>
                                          <a:pt x="5216906"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902841</wp:posOffset>
                      </wp:positionH>
                      <wp:positionV relativeFrom="paragraph">
                        <wp:posOffset>-205</wp:posOffset>
                      </wp:positionV>
                      <wp:extent cx="5217160" cy="625475"/>
                      <wp:effectExtent b="0" l="0" r="0" t="0"/>
                      <wp:wrapNone/>
                      <wp:docPr id="60"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217160" cy="625475"/>
                              </a:xfrm>
                              <a:prstGeom prst="rect"/>
                              <a:ln/>
                            </pic:spPr>
                          </pic:pic>
                        </a:graphicData>
                      </a:graphic>
                    </wp:anchor>
                  </w:drawing>
                </mc:Fallback>
              </mc:AlternateConten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arbitraje (nacional)</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800.00</w:t>
            </w:r>
          </w:p>
        </w:tc>
      </w:tr>
      <w:tr>
        <w:trPr>
          <w:cantSplit w:val="0"/>
          <w:trHeight w:val="484"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arbitraje (internacional)</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US $ 425.00</w:t>
            </w:r>
          </w:p>
        </w:tc>
      </w:tr>
      <w:tr>
        <w:trPr>
          <w:cantSplit w:val="0"/>
          <w:trHeight w:val="489" w:hRule="atLeast"/>
          <w:tblHeader w:val="0"/>
        </w:trPr>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medida cautelar dentro de proceso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902841</wp:posOffset>
                      </wp:positionH>
                      <wp:positionV relativeFrom="paragraph">
                        <wp:posOffset>-205</wp:posOffset>
                      </wp:positionV>
                      <wp:extent cx="3866515" cy="311150"/>
                      <wp:effectExtent b="0" l="0" r="0" t="0"/>
                      <wp:wrapNone/>
                      <wp:docPr id="62" name=""/>
                      <a:graphic>
                        <a:graphicData uri="http://schemas.microsoft.com/office/word/2010/wordprocessingGroup">
                          <wpg:wgp>
                            <wpg:cNvGrpSpPr/>
                            <wpg:grpSpPr>
                              <a:xfrm>
                                <a:off x="3412725" y="3624425"/>
                                <a:ext cx="3866515" cy="311150"/>
                                <a:chOff x="3412725" y="3624425"/>
                                <a:chExt cx="3866525" cy="311150"/>
                              </a:xfrm>
                            </wpg:grpSpPr>
                            <wpg:grpSp>
                              <wpg:cNvGrpSpPr/>
                              <wpg:grpSpPr>
                                <a:xfrm>
                                  <a:off x="3412743" y="3624425"/>
                                  <a:ext cx="3866515" cy="311150"/>
                                  <a:chOff x="0" y="0"/>
                                  <a:chExt cx="3866515" cy="311150"/>
                                </a:xfrm>
                              </wpg:grpSpPr>
                              <wps:wsp>
                                <wps:cNvSpPr/>
                                <wps:cNvPr id="3" name="Shape 3"/>
                                <wps:spPr>
                                  <a:xfrm>
                                    <a:off x="0" y="0"/>
                                    <a:ext cx="3866500" cy="31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3866515" cy="311150"/>
                                  </a:xfrm>
                                  <a:custGeom>
                                    <a:rect b="b" l="l" r="r" t="t"/>
                                    <a:pathLst>
                                      <a:path extrusionOk="0" h="311150" w="3866515">
                                        <a:moveTo>
                                          <a:pt x="3866388" y="0"/>
                                        </a:moveTo>
                                        <a:lnTo>
                                          <a:pt x="0" y="0"/>
                                        </a:lnTo>
                                        <a:lnTo>
                                          <a:pt x="0" y="310895"/>
                                        </a:lnTo>
                                        <a:lnTo>
                                          <a:pt x="3866388" y="310895"/>
                                        </a:lnTo>
                                        <a:lnTo>
                                          <a:pt x="3866388"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902841</wp:posOffset>
                      </wp:positionH>
                      <wp:positionV relativeFrom="paragraph">
                        <wp:posOffset>-205</wp:posOffset>
                      </wp:positionV>
                      <wp:extent cx="3866515" cy="311150"/>
                      <wp:effectExtent b="0" l="0" r="0" t="0"/>
                      <wp:wrapNone/>
                      <wp:docPr id="62"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3866515" cy="311150"/>
                              </a:xfrm>
                              <a:prstGeom prst="rect"/>
                              <a:ln/>
                            </pic:spPr>
                          </pic:pic>
                        </a:graphicData>
                      </a:graphic>
                    </wp:anchor>
                  </w:drawing>
                </mc:Fallback>
              </mc:AlternateConten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800.00</w:t>
            </w:r>
          </w:p>
        </w:tc>
      </w:tr>
      <w:tr>
        <w:trPr>
          <w:cantSplit w:val="0"/>
          <w:trHeight w:val="484" w:hRule="atLeast"/>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desistimiento del arbitraje</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800.00</w:t>
            </w:r>
          </w:p>
        </w:tc>
      </w:tr>
      <w:tr>
        <w:trPr>
          <w:cantSplit w:val="0"/>
          <w:trHeight w:val="729"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 w:line="237"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Revisión extraordinaria de decisiones de designación, recusación o remoción, y similares</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S/7,000.00</w:t>
            </w:r>
          </w:p>
        </w:tc>
      </w:tr>
      <w:tr>
        <w:trPr>
          <w:cantSplit w:val="0"/>
          <w:trHeight w:val="484"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Inscripción de Árbitros</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Postulación al Registro de Árbitros o su renovación de un arbitraje privado (nacional) por año.</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850.00</w:t>
            </w:r>
          </w:p>
        </w:tc>
      </w:tr>
      <w:tr>
        <w:trPr>
          <w:cantSplit w:val="0"/>
          <w:trHeight w:val="484"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4"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Inscripción al Registro de Árbitros (nacional) por año, en caso haya sido aprobada su postulación</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850.00</w:t>
            </w:r>
          </w:p>
        </w:tc>
      </w:tr>
      <w:tr>
        <w:trPr>
          <w:cantSplit w:val="0"/>
          <w:trHeight w:val="480" w:hRule="atLeast"/>
          <w:tblHeader w:val="0"/>
        </w:trPr>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Postulación al Registro de Árbitros o su renovación de un arbitraje (internacional) por año</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US $ 425.00</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sectPr>
          <w:headerReference r:id="rId17" w:type="first"/>
          <w:footerReference r:id="rId18" w:type="default"/>
          <w:type w:val="nextPage"/>
          <w:pgSz w:h="16840" w:w="11910" w:orient="portrait"/>
          <w:pgMar w:bottom="1417.3228346456694" w:top="1700.7874015748032" w:left="1700.7874015748032" w:right="1417.3228346456694" w:header="0" w:footer="1077.1653543307089"/>
        </w:sect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930.0" w:type="dxa"/>
        <w:jc w:val="left"/>
        <w:tblInd w:w="2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6098"/>
        <w:gridCol w:w="2126"/>
        <w:tblGridChange w:id="0">
          <w:tblGrid>
            <w:gridCol w:w="706"/>
            <w:gridCol w:w="6098"/>
            <w:gridCol w:w="2126"/>
          </w:tblGrid>
        </w:tblGridChange>
      </w:tblGrid>
      <w:tr>
        <w:trPr>
          <w:cantSplit w:val="0"/>
          <w:trHeight w:val="489" w:hRule="atLeast"/>
          <w:tblHeader w:val="0"/>
        </w:trPr>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Designación de Árbitros</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designación de árbitro</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800.00</w:t>
            </w:r>
          </w:p>
        </w:tc>
      </w:tr>
      <w:tr>
        <w:trPr>
          <w:cantSplit w:val="0"/>
          <w:trHeight w:val="485"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Recusación o remoción de Árbitros</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recusación y/o remoción (por árbitro)</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800.00</w:t>
            </w:r>
          </w:p>
        </w:tc>
      </w:tr>
      <w:tr>
        <w:trPr>
          <w:cantSplit w:val="0"/>
          <w:trHeight w:val="484" w:hRule="atLeast"/>
          <w:tblHeader w:val="0"/>
        </w:trPr>
        <w:tc>
          <w:tcPr>
            <w:shd w:fill="c1e3f5"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w:t>
            </w:r>
          </w:p>
        </w:tc>
        <w:tc>
          <w:tcPr>
            <w:shd w:fill="c1e3f5"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61"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Tramites ante la Secretaria Arbitral</w:t>
            </w:r>
          </w:p>
        </w:tc>
        <w:tc>
          <w:tcPr>
            <w:shd w:fill="c1e3f5"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5"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Monto sin IGV</w:t>
            </w:r>
          </w:p>
        </w:tc>
      </w:tr>
      <w:tr>
        <w:trPr>
          <w:cantSplit w:val="0"/>
          <w:trHeight w:val="484"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simple por hoja</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1.00</w:t>
            </w:r>
          </w:p>
        </w:tc>
      </w:tr>
      <w:tr>
        <w:trPr>
          <w:cantSplit w:val="0"/>
          <w:trHeight w:val="489"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digital (escaneo) por hoja</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2.00</w:t>
            </w:r>
          </w:p>
        </w:tc>
      </w:tr>
      <w:tr>
        <w:trPr>
          <w:cantSplit w:val="0"/>
          <w:trHeight w:val="484"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certificada por hoja</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3.00</w:t>
            </w:r>
          </w:p>
        </w:tc>
      </w:tr>
      <w:tr>
        <w:trPr>
          <w:cantSplit w:val="0"/>
          <w:trHeight w:val="485"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simple de plano por hoja</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10.00</w:t>
            </w:r>
          </w:p>
        </w:tc>
      </w:tr>
      <w:tr>
        <w:trPr>
          <w:cantSplit w:val="0"/>
          <w:trHeight w:val="489"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simple/digital de plano por hoja</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20.00</w:t>
            </w:r>
          </w:p>
        </w:tc>
      </w:tr>
      <w:tr>
        <w:trPr>
          <w:cantSplit w:val="0"/>
          <w:trHeight w:val="484"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Copia certificada de plano por hoja</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30.00</w:t>
            </w:r>
          </w:p>
        </w:tc>
      </w:tr>
      <w:tr>
        <w:trPr>
          <w:cantSplit w:val="0"/>
          <w:trHeight w:val="489"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Gestión de notificación física en la Región de Junín (no incluye courier)</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10.00</w:t>
            </w:r>
          </w:p>
        </w:tc>
      </w:tr>
      <w:tr>
        <w:trPr>
          <w:cantSplit w:val="0"/>
          <w:trHeight w:val="484" w:hRule="atLeast"/>
          <w:tblHeader w:val="0"/>
        </w:trPr>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4"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Gestión de notificación física fuera de la Región de Junín (no incluye courier)</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20.00</w:t>
            </w:r>
          </w:p>
        </w:tc>
      </w:tr>
      <w:tr>
        <w:trPr>
          <w:cantSplit w:val="0"/>
          <w:trHeight w:val="481"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Gestión de notificación física fuera del Perú (no incluye courier)</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50.00</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284"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Tabla de Gastos Arbitrales Administrativos es la tasa de pago por trámites administrativos a cargo del Centro de Arbitraje, tales como la inscripción de árbitros, designación residual de árbitros, y otros; así mismo, dicha tabla contiene la tasa administrativa por la gestión de la Secretaria General, tales como copias, notificaciones personales, y otros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Los montos son en soles sin incluir IGV.</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 w:line="276" w:lineRule="auto"/>
        <w:ind w:left="282"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Nota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caso se anule el laudo por decisión del Poder Judicial, el Centro de Arbitraje no cobrará la tasa administrativa cuando la actuación arbitral se limite a la emisión de un nuevo laudo. En caso sea necesario realizar actuaciones adicionales, se aplicará la tasa administrativa correspondiente a la cuantía de la controversia.</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pStyle w:val="Heading2"/>
        <w:spacing w:after="240" w:lineRule="auto"/>
        <w:ind w:left="282"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x3krc8kk8w5c" w:id="98"/>
      <w:bookmarkEnd w:id="98"/>
      <w:r w:rsidDel="00000000" w:rsidR="00000000" w:rsidRPr="00000000">
        <w:rPr>
          <w:rtl w:val="0"/>
        </w:rPr>
        <w:t xml:space="preserve">ANEXO N° 4: Tabla de Gastos Arbitrales del Árbitro de Emergencia</w:t>
      </w:r>
      <w:r w:rsidDel="00000000" w:rsidR="00000000" w:rsidRPr="00000000">
        <w:rPr>
          <w:rtl w:val="0"/>
        </w:rPr>
      </w:r>
    </w:p>
    <w:tbl>
      <w:tblPr>
        <w:tblStyle w:val="Table7"/>
        <w:tblW w:w="8930.0" w:type="dxa"/>
        <w:jc w:val="left"/>
        <w:tblInd w:w="2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6098"/>
        <w:gridCol w:w="2126"/>
        <w:tblGridChange w:id="0">
          <w:tblGrid>
            <w:gridCol w:w="706"/>
            <w:gridCol w:w="6098"/>
            <w:gridCol w:w="2126"/>
          </w:tblGrid>
        </w:tblGridChange>
      </w:tblGrid>
      <w:tr>
        <w:trPr>
          <w:cantSplit w:val="0"/>
          <w:trHeight w:val="489" w:hRule="atLeast"/>
          <w:tblHeader w:val="0"/>
        </w:trPr>
        <w:tc>
          <w:tcPr>
            <w:shd w:fill="c1e3f5"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w:t>
            </w:r>
          </w:p>
        </w:tc>
        <w:tc>
          <w:tcPr>
            <w:shd w:fill="c1e3f5"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8"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Concepto</w:t>
            </w:r>
          </w:p>
        </w:tc>
        <w:tc>
          <w:tcPr>
            <w:shd w:fill="c1e3f5"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05"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Monto sin IGV</w:t>
            </w:r>
          </w:p>
        </w:tc>
      </w:tr>
      <w:tr>
        <w:trPr>
          <w:cantSplit w:val="0"/>
          <w:trHeight w:val="484"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Solicitud de árbitro de emergencia (medida cautelar)</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7,000.00</w:t>
            </w:r>
          </w:p>
        </w:tc>
      </w:tr>
      <w:tr>
        <w:trPr>
          <w:cantSplit w:val="0"/>
          <w:trHeight w:val="431" w:hRule="atLeast"/>
          <w:tblHeader w:val="0"/>
        </w:trPr>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9"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11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Honorarios </w:t>
            </w:r>
            <w:r w:rsidDel="00000000" w:rsidR="00000000" w:rsidRPr="00000000">
              <w:rPr>
                <w:sz w:val="20"/>
                <w:szCs w:val="20"/>
                <w:rtl w:val="0"/>
              </w:rPr>
              <w:t xml:space="preserve">del Árbitro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de emergencia</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 20,000.00</w:t>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5" w:line="240" w:lineRule="auto"/>
        <w:ind w:left="0" w:right="0" w:firstLine="0"/>
        <w:jc w:val="left"/>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40" w:w="11910" w:orient="portrait"/>
      <w:pgMar w:bottom="1417.3228346456694" w:top="1700.7874015748032" w:left="1700.7874015748032" w:right="1417.3228346456694"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ebastian chuquimantari" w:id="0" w:date="2026-09-29T16:15:59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Continuara con OSCE o se cambiara a la OECE</w:t>
      </w:r>
    </w:p>
  </w:comment>
  <w:comment w:author="Alejandro S.ebastian chuquimantari" w:id="1" w:date="2026-10-06T13:49:2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esta parte porque mencionaba la confidencialidad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rFonts w:ascii="Arial" w:cs="Arial" w:eastAsia="Arial" w:hAnsi="Arial"/>
        <w:sz w:val="20"/>
        <w:szCs w:val="20"/>
      </w:rPr>
    </w:pPr>
    <w:r w:rsidDel="00000000" w:rsidR="00000000" w:rsidRPr="00000000">
      <w:rPr>
        <w:rtl w:val="0"/>
      </w:rPr>
    </w:r>
  </w:p>
  <w:tbl>
    <w:tblPr>
      <w:tblStyle w:val="Table8"/>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40A">
          <w:pPr>
            <w:tabs>
              <w:tab w:val="center" w:leader="none" w:pos="4513"/>
              <w:tab w:val="right" w:leader="none" w:pos="9026"/>
            </w:tabs>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40B">
          <w:pPr>
            <w:tabs>
              <w:tab w:val="center" w:leader="none" w:pos="4513"/>
              <w:tab w:val="right" w:leader="none" w:pos="9026"/>
            </w:tabs>
            <w:jc w:val="right"/>
            <w:rPr>
              <w:rFonts w:ascii="Arial" w:cs="Arial" w:eastAsia="Arial" w:hAnsi="Arial"/>
              <w:smallCaps w:val="1"/>
              <w:sz w:val="18"/>
              <w:szCs w:val="18"/>
            </w:rPr>
          </w:pPr>
          <w:r w:rsidDel="00000000" w:rsidR="00000000" w:rsidRPr="00000000">
            <w:rPr>
              <w:rFonts w:ascii="Arial" w:cs="Arial" w:eastAsia="Arial" w:hAnsi="Arial"/>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C">
    <w:pPr>
      <w:tabs>
        <w:tab w:val="center" w:leader="none" w:pos="4513"/>
        <w:tab w:val="right" w:leader="none" w:pos="9026"/>
      </w:tabs>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6"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4646775</wp:posOffset>
          </wp:positionH>
          <wp:positionV relativeFrom="paragraph">
            <wp:posOffset>114300</wp:posOffset>
          </wp:positionV>
          <wp:extent cx="1215715" cy="1023760"/>
          <wp:effectExtent b="0" l="0" r="0" t="0"/>
          <wp:wrapNone/>
          <wp:docPr id="6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pict>
        <v:shape id="WordPictureWatermark1"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pict>
        <v:shape id="WordPictureWatermark3"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4360800</wp:posOffset>
          </wp:positionH>
          <wp:positionV relativeFrom="paragraph">
            <wp:posOffset>123817</wp:posOffset>
          </wp:positionV>
          <wp:extent cx="1215715" cy="1023760"/>
          <wp:effectExtent b="0" l="0" r="0" t="0"/>
          <wp:wrapNone/>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927.0000000000001"/>
      </w:pPr>
      <w:rPr>
        <w:rFonts w:ascii="Verdana" w:cs="Verdana" w:eastAsia="Verdana" w:hAnsi="Verdana"/>
        <w:b w:val="0"/>
        <w:bCs w:val="0"/>
        <w:i w:val="0"/>
        <w:iCs w:val="0"/>
        <w:color w:val="363435"/>
        <w:sz w:val="22"/>
        <w:szCs w:val="22"/>
      </w:rPr>
    </w:lvl>
    <w:lvl w:ilvl="2">
      <w:start w:val="0"/>
      <w:numFmt w:val="bullet"/>
      <w:lvlText w:val="•"/>
      <w:lvlJc w:val="left"/>
      <w:pPr>
        <w:ind w:left="2621" w:hanging="926.9999999999995"/>
      </w:pPr>
      <w:rPr/>
    </w:lvl>
    <w:lvl w:ilvl="3">
      <w:start w:val="0"/>
      <w:numFmt w:val="bullet"/>
      <w:lvlText w:val="•"/>
      <w:lvlJc w:val="left"/>
      <w:pPr>
        <w:ind w:left="3463" w:hanging="927"/>
      </w:pPr>
      <w:rPr/>
    </w:lvl>
    <w:lvl w:ilvl="4">
      <w:start w:val="0"/>
      <w:numFmt w:val="bullet"/>
      <w:lvlText w:val="•"/>
      <w:lvlJc w:val="left"/>
      <w:pPr>
        <w:ind w:left="4304" w:hanging="927"/>
      </w:pPr>
      <w:rPr/>
    </w:lvl>
    <w:lvl w:ilvl="5">
      <w:start w:val="0"/>
      <w:numFmt w:val="bullet"/>
      <w:lvlText w:val="•"/>
      <w:lvlJc w:val="left"/>
      <w:pPr>
        <w:ind w:left="5146" w:hanging="927"/>
      </w:pPr>
      <w:rPr/>
    </w:lvl>
    <w:lvl w:ilvl="6">
      <w:start w:val="0"/>
      <w:numFmt w:val="bullet"/>
      <w:lvlText w:val="•"/>
      <w:lvlJc w:val="left"/>
      <w:pPr>
        <w:ind w:left="5987" w:hanging="926.9999999999991"/>
      </w:pPr>
      <w:rPr/>
    </w:lvl>
    <w:lvl w:ilvl="7">
      <w:start w:val="0"/>
      <w:numFmt w:val="bullet"/>
      <w:lvlText w:val="•"/>
      <w:lvlJc w:val="left"/>
      <w:pPr>
        <w:ind w:left="6829" w:hanging="927.0000000000009"/>
      </w:pPr>
      <w:rPr/>
    </w:lvl>
    <w:lvl w:ilvl="8">
      <w:start w:val="0"/>
      <w:numFmt w:val="bullet"/>
      <w:lvlText w:val="•"/>
      <w:lvlJc w:val="left"/>
      <w:pPr>
        <w:ind w:left="7670" w:hanging="927"/>
      </w:pPr>
      <w:rPr/>
    </w:lvl>
  </w:abstractNum>
  <w:abstractNum w:abstractNumId="1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7">
    <w:lvl w:ilvl="0">
      <w:start w:val="1"/>
      <w:numFmt w:val="lowerLetter"/>
      <w:lvlText w:val="%1)"/>
      <w:lvlJc w:val="left"/>
      <w:pPr>
        <w:ind w:left="1416" w:hanging="567.0000000000001"/>
      </w:pPr>
      <w:rPr>
        <w:rFonts w:ascii="Verdana" w:cs="Verdana" w:eastAsia="Verdana" w:hAnsi="Verdana"/>
        <w:b w:val="0"/>
        <w:bCs w:val="0"/>
        <w:i w:val="0"/>
        <w:iCs w:val="0"/>
        <w:color w:val="363435"/>
        <w:sz w:val="22"/>
        <w:szCs w:val="22"/>
      </w:rPr>
    </w:lvl>
    <w:lvl w:ilvl="1">
      <w:start w:val="0"/>
      <w:numFmt w:val="bullet"/>
      <w:lvlText w:val="•"/>
      <w:lvlJc w:val="left"/>
      <w:pPr>
        <w:ind w:left="2213" w:hanging="566.9999999999998"/>
      </w:pPr>
      <w:rPr/>
    </w:lvl>
    <w:lvl w:ilvl="2">
      <w:start w:val="0"/>
      <w:numFmt w:val="bullet"/>
      <w:lvlText w:val="•"/>
      <w:lvlJc w:val="left"/>
      <w:pPr>
        <w:ind w:left="3006" w:hanging="566.9999999999995"/>
      </w:pPr>
      <w:rPr/>
    </w:lvl>
    <w:lvl w:ilvl="3">
      <w:start w:val="0"/>
      <w:numFmt w:val="bullet"/>
      <w:lvlText w:val="•"/>
      <w:lvlJc w:val="left"/>
      <w:pPr>
        <w:ind w:left="3800" w:hanging="567"/>
      </w:pPr>
      <w:rPr/>
    </w:lvl>
    <w:lvl w:ilvl="4">
      <w:start w:val="0"/>
      <w:numFmt w:val="bullet"/>
      <w:lvlText w:val="•"/>
      <w:lvlJc w:val="left"/>
      <w:pPr>
        <w:ind w:left="4593" w:hanging="567"/>
      </w:pPr>
      <w:rPr/>
    </w:lvl>
    <w:lvl w:ilvl="5">
      <w:start w:val="0"/>
      <w:numFmt w:val="bullet"/>
      <w:lvlText w:val="•"/>
      <w:lvlJc w:val="left"/>
      <w:pPr>
        <w:ind w:left="5387" w:hanging="566.9999999999991"/>
      </w:pPr>
      <w:rPr/>
    </w:lvl>
    <w:lvl w:ilvl="6">
      <w:start w:val="0"/>
      <w:numFmt w:val="bullet"/>
      <w:lvlText w:val="•"/>
      <w:lvlJc w:val="left"/>
      <w:pPr>
        <w:ind w:left="6180" w:hanging="567"/>
      </w:pPr>
      <w:rPr/>
    </w:lvl>
    <w:lvl w:ilvl="7">
      <w:start w:val="0"/>
      <w:numFmt w:val="bullet"/>
      <w:lvlText w:val="•"/>
      <w:lvlJc w:val="left"/>
      <w:pPr>
        <w:ind w:left="6973" w:hanging="567.0000000000009"/>
      </w:pPr>
      <w:rPr/>
    </w:lvl>
    <w:lvl w:ilvl="8">
      <w:start w:val="0"/>
      <w:numFmt w:val="bullet"/>
      <w:lvlText w:val="•"/>
      <w:lvlJc w:val="left"/>
      <w:pPr>
        <w:ind w:left="7767" w:hanging="567"/>
      </w:pPr>
      <w:rPr/>
    </w:lvl>
  </w:abstractNum>
  <w:abstractNum w:abstractNumId="2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1"/>
      <w:numFmt w:val="lowerRoman"/>
      <w:lvlText w:val="%3."/>
      <w:lvlJc w:val="left"/>
      <w:pPr>
        <w:ind w:left="2419" w:hanging="500"/>
      </w:pPr>
      <w:rPr>
        <w:rFonts w:ascii="Verdana" w:cs="Verdana" w:eastAsia="Verdana" w:hAnsi="Verdana"/>
        <w:b w:val="0"/>
        <w:bCs w:val="0"/>
        <w:i w:val="0"/>
        <w:iCs w:val="0"/>
        <w:sz w:val="22"/>
        <w:szCs w:val="22"/>
      </w:rPr>
    </w:lvl>
    <w:lvl w:ilvl="3">
      <w:start w:val="0"/>
      <w:numFmt w:val="bullet"/>
      <w:lvlText w:val="•"/>
      <w:lvlJc w:val="left"/>
      <w:pPr>
        <w:ind w:left="3286" w:hanging="500"/>
      </w:pPr>
      <w:rPr/>
    </w:lvl>
    <w:lvl w:ilvl="4">
      <w:start w:val="0"/>
      <w:numFmt w:val="bullet"/>
      <w:lvlText w:val="•"/>
      <w:lvlJc w:val="left"/>
      <w:pPr>
        <w:ind w:left="4153" w:hanging="500"/>
      </w:pPr>
      <w:rPr/>
    </w:lvl>
    <w:lvl w:ilvl="5">
      <w:start w:val="0"/>
      <w:numFmt w:val="bullet"/>
      <w:lvlText w:val="•"/>
      <w:lvlJc w:val="left"/>
      <w:pPr>
        <w:ind w:left="5020" w:hanging="500"/>
      </w:pPr>
      <w:rPr/>
    </w:lvl>
    <w:lvl w:ilvl="6">
      <w:start w:val="0"/>
      <w:numFmt w:val="bullet"/>
      <w:lvlText w:val="•"/>
      <w:lvlJc w:val="left"/>
      <w:pPr>
        <w:ind w:left="5887" w:hanging="500"/>
      </w:pPr>
      <w:rPr/>
    </w:lvl>
    <w:lvl w:ilvl="7">
      <w:start w:val="0"/>
      <w:numFmt w:val="bullet"/>
      <w:lvlText w:val="•"/>
      <w:lvlJc w:val="left"/>
      <w:pPr>
        <w:ind w:left="6753" w:hanging="500"/>
      </w:pPr>
      <w:rPr/>
    </w:lvl>
    <w:lvl w:ilvl="8">
      <w:start w:val="0"/>
      <w:numFmt w:val="bullet"/>
      <w:lvlText w:val="•"/>
      <w:lvlJc w:val="left"/>
      <w:pPr>
        <w:ind w:left="7620" w:hanging="500"/>
      </w:pPr>
      <w:rPr/>
    </w:lvl>
  </w:abstractNum>
  <w:abstractNum w:abstractNumId="2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decimal"/>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4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361"/>
      </w:pPr>
      <w:rPr>
        <w:rFonts w:ascii="Verdana" w:cs="Verdana" w:eastAsia="Verdana" w:hAnsi="Verdana"/>
        <w:b w:val="0"/>
        <w:bCs w:val="0"/>
        <w:i w:val="0"/>
        <w:iCs w:val="0"/>
        <w:color w:val="363435"/>
        <w:sz w:val="22"/>
        <w:szCs w:val="22"/>
      </w:rPr>
    </w:lvl>
    <w:lvl w:ilvl="2">
      <w:start w:val="0"/>
      <w:numFmt w:val="bullet"/>
      <w:lvlText w:val="•"/>
      <w:lvlJc w:val="left"/>
      <w:pPr>
        <w:ind w:left="2621" w:hanging="360.99999999999955"/>
      </w:pPr>
      <w:rPr/>
    </w:lvl>
    <w:lvl w:ilvl="3">
      <w:start w:val="0"/>
      <w:numFmt w:val="bullet"/>
      <w:lvlText w:val="•"/>
      <w:lvlJc w:val="left"/>
      <w:pPr>
        <w:ind w:left="3463" w:hanging="361"/>
      </w:pPr>
      <w:rPr/>
    </w:lvl>
    <w:lvl w:ilvl="4">
      <w:start w:val="0"/>
      <w:numFmt w:val="bullet"/>
      <w:lvlText w:val="•"/>
      <w:lvlJc w:val="left"/>
      <w:pPr>
        <w:ind w:left="4304" w:hanging="361.00000000000045"/>
      </w:pPr>
      <w:rPr/>
    </w:lvl>
    <w:lvl w:ilvl="5">
      <w:start w:val="0"/>
      <w:numFmt w:val="bullet"/>
      <w:lvlText w:val="•"/>
      <w:lvlJc w:val="left"/>
      <w:pPr>
        <w:ind w:left="5146" w:hanging="361"/>
      </w:pPr>
      <w:rPr/>
    </w:lvl>
    <w:lvl w:ilvl="6">
      <w:start w:val="0"/>
      <w:numFmt w:val="bullet"/>
      <w:lvlText w:val="•"/>
      <w:lvlJc w:val="left"/>
      <w:pPr>
        <w:ind w:left="5987" w:hanging="361"/>
      </w:pPr>
      <w:rPr/>
    </w:lvl>
    <w:lvl w:ilvl="7">
      <w:start w:val="0"/>
      <w:numFmt w:val="bullet"/>
      <w:lvlText w:val="•"/>
      <w:lvlJc w:val="left"/>
      <w:pPr>
        <w:ind w:left="6829" w:hanging="361"/>
      </w:pPr>
      <w:rPr/>
    </w:lvl>
    <w:lvl w:ilvl="8">
      <w:start w:val="0"/>
      <w:numFmt w:val="bullet"/>
      <w:lvlText w:val="•"/>
      <w:lvlJc w:val="left"/>
      <w:pPr>
        <w:ind w:left="7670" w:hanging="361"/>
      </w:pPr>
      <w:rPr/>
    </w:lvl>
  </w:abstractNum>
  <w:abstractNum w:abstractNumId="4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569" w:hanging="360"/>
      </w:pPr>
      <w:rPr>
        <w:b w:val="0"/>
        <w:bCs w:val="0"/>
        <w:i w:val="0"/>
        <w:iCs w:val="0"/>
        <w:sz w:val="22"/>
        <w:szCs w:val="22"/>
      </w:rPr>
    </w:lvl>
    <w:lvl w:ilvl="2">
      <w:start w:val="0"/>
      <w:numFmt w:val="bullet"/>
      <w:lvlText w:val="•"/>
      <w:lvlJc w:val="left"/>
      <w:pPr>
        <w:ind w:left="2426" w:hanging="360"/>
      </w:pPr>
      <w:rPr/>
    </w:lvl>
    <w:lvl w:ilvl="3">
      <w:start w:val="0"/>
      <w:numFmt w:val="bullet"/>
      <w:lvlText w:val="•"/>
      <w:lvlJc w:val="left"/>
      <w:pPr>
        <w:ind w:left="3292" w:hanging="360"/>
      </w:pPr>
      <w:rPr/>
    </w:lvl>
    <w:lvl w:ilvl="4">
      <w:start w:val="0"/>
      <w:numFmt w:val="bullet"/>
      <w:lvlText w:val="•"/>
      <w:lvlJc w:val="left"/>
      <w:pPr>
        <w:ind w:left="4158" w:hanging="360"/>
      </w:pPr>
      <w:rPr/>
    </w:lvl>
    <w:lvl w:ilvl="5">
      <w:start w:val="0"/>
      <w:numFmt w:val="bullet"/>
      <w:lvlText w:val="•"/>
      <w:lvlJc w:val="left"/>
      <w:pPr>
        <w:ind w:left="5024" w:hanging="360"/>
      </w:pPr>
      <w:rPr/>
    </w:lvl>
    <w:lvl w:ilvl="6">
      <w:start w:val="0"/>
      <w:numFmt w:val="bullet"/>
      <w:lvlText w:val="•"/>
      <w:lvlJc w:val="left"/>
      <w:pPr>
        <w:ind w:left="5890" w:hanging="360"/>
      </w:pPr>
      <w:rPr/>
    </w:lvl>
    <w:lvl w:ilvl="7">
      <w:start w:val="0"/>
      <w:numFmt w:val="bullet"/>
      <w:lvlText w:val="•"/>
      <w:lvlJc w:val="left"/>
      <w:pPr>
        <w:ind w:left="6756" w:hanging="360"/>
      </w:pPr>
      <w:rPr/>
    </w:lvl>
    <w:lvl w:ilvl="8">
      <w:start w:val="0"/>
      <w:numFmt w:val="bullet"/>
      <w:lvlText w:val="•"/>
      <w:lvlJc w:val="left"/>
      <w:pPr>
        <w:ind w:left="7622" w:hanging="360"/>
      </w:pPr>
      <w:rPr/>
    </w:lvl>
  </w:abstractNum>
  <w:abstractNum w:abstractNumId="5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Roman"/>
      <w:lvlText w:val="%2."/>
      <w:lvlJc w:val="left"/>
      <w:pPr>
        <w:ind w:left="1416" w:hanging="423"/>
      </w:pPr>
      <w:rPr>
        <w:rFonts w:ascii="Verdana" w:cs="Verdana" w:eastAsia="Verdana" w:hAnsi="Verdana"/>
        <w:b w:val="0"/>
        <w:bCs w:val="0"/>
        <w:i w:val="0"/>
        <w:iCs w:val="0"/>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5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8">
    <w:lvl w:ilvl="0">
      <w:start w:val="10"/>
      <w:numFmt w:val="upperRoman"/>
      <w:lvlText w:val="%1."/>
      <w:lvlJc w:val="left"/>
      <w:pPr>
        <w:ind w:left="643" w:hanging="611"/>
      </w:pPr>
      <w:rPr>
        <w:rFonts w:ascii="Verdana" w:cs="Verdana" w:eastAsia="Verdana" w:hAnsi="Verdana"/>
        <w:b w:val="1"/>
        <w:bCs w:val="1"/>
        <w:i w:val="0"/>
        <w:iCs w:val="0"/>
        <w:sz w:val="22"/>
        <w:szCs w:val="22"/>
      </w:rPr>
    </w:lvl>
    <w:lvl w:ilvl="1">
      <w:start w:val="1"/>
      <w:numFmt w:val="upperLetter"/>
      <w:lvlText w:val="%2."/>
      <w:lvlJc w:val="left"/>
      <w:pPr>
        <w:ind w:left="282" w:hanging="567"/>
      </w:pPr>
      <w:rPr>
        <w:rFonts w:ascii="Verdana" w:cs="Verdana" w:eastAsia="Verdana" w:hAnsi="Verdana"/>
        <w:b w:val="1"/>
        <w:bCs w:val="1"/>
        <w:i w:val="0"/>
        <w:iCs w:val="0"/>
        <w:sz w:val="22"/>
        <w:szCs w:val="22"/>
      </w:rPr>
    </w:lvl>
    <w:lvl w:ilvl="2">
      <w:start w:val="1"/>
      <w:numFmt w:val="decimal"/>
      <w:lvlText w:val="%3."/>
      <w:lvlJc w:val="left"/>
      <w:pPr>
        <w:ind w:left="849" w:hanging="567"/>
      </w:pPr>
      <w:rPr>
        <w:rFonts w:ascii="Verdana" w:cs="Verdana" w:eastAsia="Verdana" w:hAnsi="Verdana"/>
        <w:b w:val="0"/>
        <w:bCs w:val="0"/>
        <w:i w:val="0"/>
        <w:iCs w:val="0"/>
        <w:sz w:val="22"/>
        <w:szCs w:val="22"/>
      </w:rPr>
    </w:lvl>
    <w:lvl w:ilvl="3">
      <w:start w:val="1"/>
      <w:numFmt w:val="lowerLetter"/>
      <w:lvlText w:val="%4)"/>
      <w:lvlJc w:val="left"/>
      <w:pPr>
        <w:ind w:left="1776" w:hanging="644"/>
      </w:pPr>
      <w:rPr>
        <w:rFonts w:ascii="Verdana" w:cs="Verdana" w:eastAsia="Verdana" w:hAnsi="Verdana"/>
        <w:b w:val="0"/>
        <w:bCs w:val="0"/>
        <w:i w:val="0"/>
        <w:iCs w:val="0"/>
        <w:color w:val="363435"/>
        <w:sz w:val="22"/>
        <w:szCs w:val="22"/>
      </w:rPr>
    </w:lvl>
    <w:lvl w:ilvl="4">
      <w:start w:val="0"/>
      <w:numFmt w:val="bullet"/>
      <w:lvlText w:val="•"/>
      <w:lvlJc w:val="left"/>
      <w:pPr>
        <w:ind w:left="1780" w:hanging="644"/>
      </w:pPr>
      <w:rPr/>
    </w:lvl>
    <w:lvl w:ilvl="5">
      <w:start w:val="0"/>
      <w:numFmt w:val="bullet"/>
      <w:lvlText w:val="•"/>
      <w:lvlJc w:val="left"/>
      <w:pPr>
        <w:ind w:left="3042" w:hanging="644"/>
      </w:pPr>
      <w:rPr/>
    </w:lvl>
    <w:lvl w:ilvl="6">
      <w:start w:val="0"/>
      <w:numFmt w:val="bullet"/>
      <w:lvlText w:val="•"/>
      <w:lvlJc w:val="left"/>
      <w:pPr>
        <w:ind w:left="4304" w:hanging="644"/>
      </w:pPr>
      <w:rPr/>
    </w:lvl>
    <w:lvl w:ilvl="7">
      <w:start w:val="0"/>
      <w:numFmt w:val="bullet"/>
      <w:lvlText w:val="•"/>
      <w:lvlJc w:val="left"/>
      <w:pPr>
        <w:ind w:left="5567" w:hanging="643.9999999999991"/>
      </w:pPr>
      <w:rPr/>
    </w:lvl>
    <w:lvl w:ilvl="8">
      <w:start w:val="0"/>
      <w:numFmt w:val="bullet"/>
      <w:lvlText w:val="•"/>
      <w:lvlJc w:val="left"/>
      <w:pPr>
        <w:ind w:left="6829" w:hanging="644"/>
      </w:pPr>
      <w:rPr/>
    </w:lvl>
  </w:abstractNum>
  <w:abstractNum w:abstractNumId="5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642" w:hanging="360"/>
      </w:pPr>
      <w:rPr/>
    </w:lvl>
    <w:lvl w:ilvl="1">
      <w:start w:val="1"/>
      <w:numFmt w:val="lowerLetter"/>
      <w:lvlText w:val="%2."/>
      <w:lvlJc w:val="left"/>
      <w:pPr>
        <w:ind w:left="1362" w:hanging="360.0000000000001"/>
      </w:pPr>
      <w:rPr/>
    </w:lvl>
    <w:lvl w:ilvl="2">
      <w:start w:val="1"/>
      <w:numFmt w:val="lowerRoman"/>
      <w:lvlText w:val="%3."/>
      <w:lvlJc w:val="right"/>
      <w:pPr>
        <w:ind w:left="2082" w:hanging="180"/>
      </w:pPr>
      <w:rPr/>
    </w:lvl>
    <w:lvl w:ilvl="3">
      <w:start w:val="1"/>
      <w:numFmt w:val="decimal"/>
      <w:lvlText w:val="%4."/>
      <w:lvlJc w:val="left"/>
      <w:pPr>
        <w:ind w:left="2802" w:hanging="360"/>
      </w:pPr>
      <w:rPr/>
    </w:lvl>
    <w:lvl w:ilvl="4">
      <w:start w:val="1"/>
      <w:numFmt w:val="lowerLetter"/>
      <w:lvlText w:val="%5."/>
      <w:lvlJc w:val="left"/>
      <w:pPr>
        <w:ind w:left="3522" w:hanging="360"/>
      </w:pPr>
      <w:rPr/>
    </w:lvl>
    <w:lvl w:ilvl="5">
      <w:start w:val="1"/>
      <w:numFmt w:val="lowerRoman"/>
      <w:lvlText w:val="%6."/>
      <w:lvlJc w:val="right"/>
      <w:pPr>
        <w:ind w:left="4242" w:hanging="180"/>
      </w:pPr>
      <w:rPr/>
    </w:lvl>
    <w:lvl w:ilvl="6">
      <w:start w:val="1"/>
      <w:numFmt w:val="decimal"/>
      <w:lvlText w:val="%7."/>
      <w:lvlJc w:val="left"/>
      <w:pPr>
        <w:ind w:left="4962" w:hanging="360"/>
      </w:pPr>
      <w:rPr/>
    </w:lvl>
    <w:lvl w:ilvl="7">
      <w:start w:val="1"/>
      <w:numFmt w:val="lowerLetter"/>
      <w:lvlText w:val="%8."/>
      <w:lvlJc w:val="left"/>
      <w:pPr>
        <w:ind w:left="5682" w:hanging="360"/>
      </w:pPr>
      <w:rPr/>
    </w:lvl>
    <w:lvl w:ilvl="8">
      <w:start w:val="1"/>
      <w:numFmt w:val="lowerRoman"/>
      <w:lvlText w:val="%9."/>
      <w:lvlJc w:val="right"/>
      <w:pPr>
        <w:ind w:left="6402" w:hanging="180"/>
      </w:pPr>
      <w:rPr/>
    </w:lvl>
  </w:abstractNum>
  <w:abstractNum w:abstractNumId="62">
    <w:lvl w:ilvl="0">
      <w:start w:val="1"/>
      <w:numFmt w:val="decimal"/>
      <w:lvlText w:val="%1."/>
      <w:lvlJc w:val="left"/>
      <w:pPr>
        <w:ind w:left="720" w:hanging="360"/>
      </w:pPr>
      <w:rPr>
        <w:rFonts w:ascii="Verdana" w:cs="Verdana" w:eastAsia="Verdana" w:hAnsi="Verdana"/>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6">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6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2" w:lineRule="auto"/>
      <w:ind w:left="708.6614173228347" w:hanging="420"/>
    </w:pPr>
    <w:rPr>
      <w:b w:val="1"/>
      <w:bCs w:val="1"/>
    </w:rPr>
  </w:style>
  <w:style w:type="paragraph" w:styleId="Heading2">
    <w:name w:val="heading 2"/>
    <w:basedOn w:val="Normal"/>
    <w:next w:val="Normal"/>
    <w:pPr>
      <w:keepNext w:val="1"/>
      <w:keepLines w:val="1"/>
      <w:spacing w:after="120" w:before="200" w:line="360" w:lineRule="auto"/>
      <w:ind w:left="851" w:firstLine="0"/>
      <w:jc w:val="both"/>
    </w:pPr>
    <w:rPr>
      <w:b w:val="1"/>
      <w:bCs w:val="1"/>
    </w:rPr>
  </w:style>
  <w:style w:type="paragraph" w:styleId="Heading3">
    <w:name w:val="heading 3"/>
    <w:basedOn w:val="Normal"/>
    <w:next w:val="Normal"/>
    <w:pPr>
      <w:keepNext w:val="1"/>
      <w:keepLines w:val="1"/>
      <w:spacing w:after="240" w:before="239" w:lineRule="auto"/>
      <w:ind w:left="851" w:firstLine="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left="2639" w:right="2606" w:hanging="23.000000000000114"/>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uiPriority w:val="1"/>
    <w:qFormat w:val="1"/>
  </w:style>
  <w:style w:type="paragraph" w:styleId="Prrafodelista">
    <w:name w:val="List Paragraph"/>
    <w:basedOn w:val="Normal"/>
    <w:uiPriority w:val="1"/>
    <w:qFormat w:val="1"/>
    <w:pPr>
      <w:ind w:left="849" w:hanging="567"/>
      <w:jc w:val="both"/>
    </w:pPr>
  </w:style>
  <w:style w:type="paragraph" w:styleId="TableParagraph" w:customStyle="1">
    <w:name w:val="Table Paragraph"/>
    <w:basedOn w:val="Normal"/>
    <w:uiPriority w:val="1"/>
    <w:qFormat w:val="1"/>
    <w:pPr>
      <w:jc w:val="center"/>
    </w:pPr>
  </w:style>
  <w:style w:type="paragraph" w:styleId="Encabezado">
    <w:name w:val="header"/>
    <w:basedOn w:val="Normal"/>
    <w:link w:val="EncabezadoCar"/>
    <w:uiPriority w:val="99"/>
    <w:unhideWhenUsed w:val="1"/>
    <w:rsid w:val="00AC2010"/>
    <w:pPr>
      <w:tabs>
        <w:tab w:val="center" w:pos="4513"/>
        <w:tab w:val="right" w:pos="9026"/>
      </w:tabs>
    </w:pPr>
  </w:style>
  <w:style w:type="character" w:styleId="EncabezadoCar" w:customStyle="1">
    <w:name w:val="Encabezado Car"/>
    <w:basedOn w:val="Fuentedeprrafopredeter"/>
    <w:link w:val="Encabezado"/>
    <w:uiPriority w:val="99"/>
    <w:rsid w:val="00AC2010"/>
    <w:rPr>
      <w:rFonts w:ascii="Verdana" w:cs="Verdana" w:eastAsia="Verdana" w:hAnsi="Verdana"/>
      <w:lang w:val="es-ES"/>
    </w:rPr>
  </w:style>
  <w:style w:type="paragraph" w:styleId="Piedepgina">
    <w:name w:val="footer"/>
    <w:basedOn w:val="Normal"/>
    <w:link w:val="PiedepginaCar"/>
    <w:uiPriority w:val="99"/>
    <w:unhideWhenUsed w:val="1"/>
    <w:rsid w:val="00AC2010"/>
    <w:pPr>
      <w:tabs>
        <w:tab w:val="center" w:pos="4513"/>
        <w:tab w:val="right" w:pos="9026"/>
      </w:tabs>
    </w:pPr>
  </w:style>
  <w:style w:type="character" w:styleId="PiedepginaCar" w:customStyle="1">
    <w:name w:val="Pie de página Car"/>
    <w:basedOn w:val="Fuentedeprrafopredeter"/>
    <w:link w:val="Piedepgina"/>
    <w:uiPriority w:val="99"/>
    <w:rsid w:val="00AC2010"/>
    <w:rPr>
      <w:rFonts w:ascii="Verdana" w:cs="Verdana" w:eastAsia="Verdana" w:hAnsi="Verdana"/>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UKekApLxrdr46U89hv2Ik3htg==">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2026-09-22T13:45:00Z</dcterms:created>
  <dc:creator>USER</dc:creator>
  <dc:title>Tabla de Gastos Arbitrales (Anexos 1 al 4)</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