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56"/>
          <w:szCs w:val="56"/>
        </w:rPr>
        <w:t xml:space="preserve">JURNAL DETALIAT DE PROIECT</w:t>
      </w:r>
    </w:p>
    <w:p>
      <w:pPr>
        <w:spacing w:after="0" w:before="120"/>
        <w:jc w:val="center"/>
      </w:pPr>
      <w:r>
        <w:rPr>
          <w:b/>
          <w:bCs/>
          <w:color w:val="2E75B6"/>
          <w:sz w:val="40"/>
          <w:szCs w:val="40"/>
        </w:rPr>
        <w:t xml:space="preserve">CRM Training IT</w:t>
      </w:r>
    </w:p>
    <w:p>
      <w:pPr>
        <w:spacing w:after="600" w:before="60"/>
        <w:jc w:val="center"/>
      </w:pPr>
      <w:r>
        <w:rPr>
          <w:i/>
          <w:iCs/>
          <w:color w:val="808080"/>
          <w:sz w:val="24"/>
          <w:szCs w:val="24"/>
        </w:rPr>
        <w:t xml:space="preserve">Aplicație Web pentru managementul relațiilor cu clienții, cu funcții de Inteligență Artificială</w:t>
      </w:r>
    </w:p>
    <w:p>
      <w:pPr>
        <w:pBdr>
          <w:bottom w:val="single" w:color="2E75B6" w:sz="12" w:space="1"/>
        </w:pBdr>
        <w:spacing w:after="30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 aplicație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 Application (Single Page App + REST API)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17 + Spring Boot, JDBC, HikariCP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16 + React 19 + TypeScript + Tailwind CSS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Bază de date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MariaDB / MySQL (InnoDB)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Inteligență Artificială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Anthropic Claude API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Raul Veca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25 iunie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Prezentare generală a proiectului</w:t>
      </w:r>
    </w:p>
    <w:p>
      <w:pPr>
        <w:spacing w:after="120" w:before="0"/>
      </w:pPr>
      <w:r>
        <w:t xml:space="preserve">Proiectul </w:t>
      </w:r>
      <w:r>
        <w:rPr>
          <w:b/>
          <w:bCs/>
        </w:rPr>
        <w:t xml:space="preserve">CRM Training IT</w:t>
      </w:r>
      <w:r>
        <w:t xml:space="preserve"> este o aplicație de tip CRM (Customer Relationship Management) dedicată unei firme de training IT. Scopul aplicației este gestionarea întregului ciclu de vânzare și livrare a cursurilor: de la atragerea potențialilor clienți (lead-uri), la calificarea lor, negocierea contractelor corporate, înscrierea la sesiuni de curs și emiterea facturilor.</w:t>
      </w:r>
    </w:p>
    <w:p>
      <w:pPr>
        <w:spacing w:after="120" w:before="0"/>
      </w:pPr>
      <w:r>
        <w:rPr>
          <w:b/>
          <w:bCs/>
        </w:rPr>
        <w:t xml:space="preserve">Punct esențial al evoluției proiectului: </w:t>
      </w:r>
      <w:r>
        <w:rPr>
          <w:b/>
          <w:bCs/>
          <w:color w:val="1F4E79"/>
        </w:rPr>
        <w:t xml:space="preserve">aplicația a fost transformată dintr-o aplicație Desktop (Java Swing) într-o aplicație Web</w:t>
      </w:r>
      <w:r>
        <w:t xml:space="preserve">, conform cerinței obligatorii. Logica de business existentă (servicii, șabloane de proiectare, acces la date) a fost păstrată și expusă printr-un API REST construit cu Spring Boot, peste care s-a adăugat o interfață web modernă realizată în Next.js / React.</w:t>
      </w:r>
    </w:p>
    <w:p>
      <w:pPr>
        <w:pStyle w:val="Heading2"/>
      </w:pPr>
      <w:r>
        <w:t xml:space="preserve">1.1 Cele două lumi ale aplicației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publică (site vitrină): </w:t>
      </w:r>
      <w:r>
        <w:t xml:space="preserve">vizitatorii și potențialii clienți individuali pot vedea companiile, obiectul lor de activitate și cursurile de care sunt interesate.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Zona de administrare (CRM): </w:t>
      </w:r>
      <w:r>
        <w:t xml:space="preserve">echipa de vânzări gestionează contacte, pipeline de oportunități, licitații, cursuri, angajați și funcțiile AI.</w:t>
      </w:r>
    </w:p>
    <w:p>
      <w:pPr>
        <w:pStyle w:val="Heading1"/>
        <w:pageBreakBefore/>
      </w:pPr>
      <w:r>
        <w:t xml:space="preserve">2. Cerințele obligatorii și stadiul lor</w:t>
      </w:r>
    </w:p>
    <w:p>
      <w:pPr>
        <w:spacing w:after="120" w:before="0"/>
      </w:pPr>
      <w:r>
        <w:t xml:space="preserve">Tabelul de mai jos preia cerințele obligatorii din documentul „Targeturi obligatorii pentru proiect” și indică modul în care sunt acoperite în implementare. Verde = realizat, chihlimbar = parțial / în lucru.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340"/>
        <w:gridCol w:w="1500"/>
        <w:gridCol w:w="2000"/>
      </w:tblGrid>
      <w:tr>
        <w:trPr>
          <w:tblHeader/>
        </w:trP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Cerință obligatorie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Stadiu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Componenta din proiect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Site public unde clienții individuali văd obiectul de activitate al companiilor și ce tip de cursuri îi interesează (inclusiv pentru investitori).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PublicCatalogController, /companies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Companiile aflate în etapa NEGOTIATION fac bidding (licitație) pentru un curs; cine oferă suma cea mai mare câștigă cursul.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Auction, Bid, AuctionService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Recomandări de cursuri pe baza profilului companiei (ML / AI / IT) și al angajaților, cu model AI.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AiService.recommendCoursesForCompany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Date detaliate despre angajați (profilul în care lucrează, profilele de interes), nu doar numărul lor.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 (work_profile, interest_profiles)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Chatbot.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Chatbot.tsx, AiController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 de AI (Claude / Gemini) folosit pentru vânzări.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ClaudeClient (Anthropic API)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Proiectul trebuie să fie Web Application, nu Desktop Application.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Boot REST + Next.js</w:t>
            </w:r>
          </w:p>
        </w:tc>
      </w:tr>
      <w:tr>
        <w:tc>
          <w:tcPr>
            <w:tcW w:type="dxa" w:w="5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Neapărat interfață pentru aplicația web.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Realizat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 Next.js / React / Tailwind</w:t>
            </w:r>
          </w:p>
        </w:tc>
      </w:tr>
    </w:tbl>
    <w:p>
      <w:pPr>
        <w:pStyle w:val="Heading1"/>
        <w:pageBreakBefore/>
      </w:pPr>
      <w:r>
        <w:t xml:space="preserve">3. Arhitectura aplicației (diagramă pe straturi)</w:t>
      </w:r>
    </w:p>
    <w:p>
      <w:pPr>
        <w:spacing w:after="120" w:before="0"/>
      </w:pPr>
      <w:r>
        <w:t xml:space="preserve">Aplicația respectă o arhitectură stratificată (layered architecture). Fiecare strat comunică doar cu stratul imediat inferior, ceea ce face codul ușor de întreținut și de testat. Săgețile roșii indică direcția fluxului unei cereri.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 PREZENTARE — Frontend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Next.js 16 · React 19 · TypeScript · Tailwind CSS  (rulează în browser)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HTTP / JSON  (fetch către /api/*)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 WEB / API — Controllers REST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Spring Boot · @RestController · /api/contacts, /api/opportunities, /api/ai, /api/auctions …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apel de metodă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548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 FAȚADĂ + SERVICII (logica de business)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CrmFacade · ContactService · OpportunityService · EnrollmentService · AuctionService · AiService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apel de metodă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BF8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 ACCES LA DATE — Repository + DAO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AbstractRepository · ContactDao · OpportunityDao … (JDBC pur)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SQL prin HikariCP (pool de conexiuni)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BAZA DE DATE — MariaDB / MySQL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17 tabele · motor InnoDB · chei străine (FK) între entități</w:t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b/>
          <w:bCs/>
          <w:color w:val="7030A0"/>
        </w:rPr>
        <w:t xml:space="preserve">Ramură transversală — Inteligență Artificială: </w:t>
      </w:r>
      <w:r>
        <w:t xml:space="preserve">stratul de servicii apelează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AiService  →  ClaudeClient  →  Anthropic Claude API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Recomandări de cursuri · Asistent de vânzări · Chatbot</w:t>
            </w:r>
          </w:p>
        </w:tc>
      </w:tr>
    </w:tbl>
    <w:p>
      <w:pPr>
        <w:pStyle w:val="Heading2"/>
      </w:pPr>
      <w:r>
        <w:t xml:space="preserve">3.1 Stack tehnologic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Tehnologie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în proiect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17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Limbajul de bază al backend-ului și al logicii de business.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Boot (Web, Validation)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Server HTTP, expunerea API-ului REST, injecția de dependențe, validări.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JDBC + HikariCP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Acces la baza de date prin SQL și pool de conexiuni performant.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MariaDB / MySQL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Persistența datelor în tabele relaționale (InnoDB).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Lombok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Reduce codul boilerplate (getteri, setteri, builderi) din entități.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SLF4J + Logback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Sistemul de logare al aplicației.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anthropic-java SDK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Clientul oficial pentru apelarea modelului Claude (funcțiile AI).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16 / React 19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Interfața web (SPA), randare și rutare pe partea de client.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TypeScript + Tailwind CSS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Tipare statică și stilizarea rapidă a interfeței.</w:t>
            </w:r>
          </w:p>
        </w:tc>
      </w:tr>
    </w:tbl>
    <w:p>
      <w:pPr>
        <w:pStyle w:val="Heading1"/>
        <w:pageBreakBefore/>
      </w:pPr>
      <w:r>
        <w:t xml:space="preserve">4. Structura proiectului (organizarea pe pachete)</w:t>
      </w:r>
    </w:p>
    <w:p>
      <w:pPr>
        <w:spacing w:after="120" w:before="0"/>
      </w:pPr>
      <w:r>
        <w:t xml:space="preserve">Codul sursă este organizat pe pachete (foldere) după responsabilitate. Arborele de mai jos rezumă pachetele importante din backend și folderul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crm/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rădăcina aplicației Java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8235"/>
              </w:rPr>
              <w:t xml:space="preserve">   └─ model/entity/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 entități de domeniu (Contact, Course, Opportunity, Auction, Bid …)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8235"/>
              </w:rPr>
              <w:t xml:space="preserve">   └─ model/enums/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enumerări (LeadStatus, OpportunityStage, ProfileArea …)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F8F00"/>
              </w:rPr>
              <w:t xml:space="preserve">   └─ dao/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acces la date prin JDBC (AbstractDao + 11 DAO-uri)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F8F00"/>
              </w:rPr>
              <w:t xml:space="preserve">   └─ repository/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repository peste DAO (AbstractRepository + repos)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</w:rPr>
              <w:t xml:space="preserve">   └─ service/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logica de business (Contact, Opportunity, Enrollment, Auction, Employee …)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</w:rPr>
              <w:t xml:space="preserve">   └─ facade/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CrmFacade — punct unic de intrare către servicii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030A0"/>
              </w:rPr>
              <w:t xml:space="preserve">   └─ builder/ command/ factory/ observer/ strategy/ validation/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șabloane de proiectare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72C4"/>
              </w:rPr>
              <w:t xml:space="preserve">   └─ web/controller/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controllere REST (/api/*)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030A0"/>
              </w:rPr>
              <w:t xml:space="preserve">   └─ web/ai/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AiService, ClaudeClient, DTO-uri AI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72C4"/>
              </w:rPr>
              <w:t xml:space="preserve">   └─ web/config/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configurare web, inițializare schemă (employees, auctions, bids)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</w:rPr>
              <w:t xml:space="preserve">   └─ gui/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interfața Swing moștenită (Desktop — istoric)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</w:rPr>
              <w:t xml:space="preserve">frontend/src/</w:t>
            </w:r>
          </w:p>
        </w:tc>
        <w:tc>
          <w:tcPr>
            <w:tcW w:type="dxa" w:w="5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aplicația Next.js (pagini admin, companies, Chatbot, api.ts)</w:t>
            </w:r>
          </w:p>
        </w:tc>
      </w:tr>
    </w:tbl>
    <w:p>
      <w:pPr>
        <w:pStyle w:val="Heading1"/>
        <w:pageBreakBefore/>
      </w:pPr>
      <w:r>
        <w:t xml:space="preserve">5. Șabloane de proiectare (Design Patterns)</w:t>
      </w:r>
    </w:p>
    <w:p>
      <w:pPr>
        <w:spacing w:after="120" w:before="0"/>
      </w:pPr>
      <w:r>
        <w:t xml:space="preserve">Proiectul folosește numeroase șabloane de proiectare clasice (Gang of Four), ceea ce demonstrează o arhitectură matură. Tabelul leagă fiecare șablon de clasele care îl implementează și de rolul lui.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030A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Șablon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030A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Clase reprezentative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030A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în aplicație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Singleton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DatabaseConnection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 singură instanță a pool-ului de conexiuni la baza de date.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Builder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ContactBuilder, OpportunityBuilder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Construirea pas cu pas a obiectelor complexe.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Factory Method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NotificationFactory, Email/SmsNotificationFactory, ActivityFactory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Crearea de notificări și activități fără a cupla clientul de tipul concret.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AbstractCommand, CommandInvoker, CreateContactCommand …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Încapsularea acțiunilor (creare contact, mutare etapă) ca obiecte.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Observer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EventBus, CrmEvent, WelcomeEmailObserver, LeadScoreUpdateObserver, AuditLogObserver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Reacții automate la evenimente (ex.: trimitere email de bun venit).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Strategy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PricingStrategy (Individual/Corporate), LeadScoringStrategy (B2B/Simple)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Algoritmi interschimbabili pentru prețuri și scoring de lead-uri.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Facade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CrmFacade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Interfață simplificată peste multitudinea de servicii.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Repository + DAO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AbstractRepository, AbstractDao + implementări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Separarea logicii de business de accesul efectiv la date.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Chain of Responsibility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ContactValidatorChain (Email, Phone, Gdpr, ContactType)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Înlănțuirea validatorilor de contacte.</w:t>
            </w:r>
          </w:p>
        </w:tc>
      </w:tr>
    </w:tbl>
    <w:p>
      <w:pPr>
        <w:pStyle w:val="Heading1"/>
        <w:pageBreakBefore/>
      </w:pPr>
      <w:r>
        <w:t xml:space="preserve">6. Modelul de date — clasificarea tabelelor</w:t>
      </w:r>
    </w:p>
    <w:p>
      <w:pPr>
        <w:spacing w:after="120" w:before="0"/>
      </w:pPr>
      <w:r>
        <w:t xml:space="preserve">Baza de date conține </w:t>
      </w:r>
      <w:r>
        <w:rPr>
          <w:b/>
          <w:bCs/>
        </w:rPr>
        <w:t xml:space="preserve">17 tabele</w:t>
      </w:r>
      <w:r>
        <w:t xml:space="preserve">. Le împărțim în </w:t>
      </w:r>
      <w:r>
        <w:rPr>
          <w:b/>
          <w:bCs/>
          <w:color w:val="548235"/>
        </w:rPr>
        <w:t xml:space="preserve">tabele principale</w:t>
      </w:r>
      <w:r>
        <w:t xml:space="preserve"> (entitățile centrale, pe care se construiește aplicația) și </w:t>
      </w:r>
      <w:r>
        <w:rPr>
          <w:b/>
          <w:bCs/>
          <w:color w:val="BF8F00"/>
        </w:rPr>
        <w:t xml:space="preserve">tabele secundare</w:t>
      </w:r>
      <w:r>
        <w:t xml:space="preserve"> (de suport: documente financiare, jurnale, evenimente), care depind de cele principale.</w:t>
      </w:r>
    </w:p>
    <w:p>
      <w:pPr>
        <w:pStyle w:val="Heading2"/>
      </w:pPr>
      <w:r>
        <w:t xml:space="preserve">6.1 Tabele PRINCIPALE</w:t>
      </w:r>
    </w:p>
    <w:p>
      <w:pPr>
        <w:spacing w:after="120" w:before="0"/>
      </w:pPr>
      <w:r>
        <w:t xml:space="preserve">Sunt entitățile-nucleu, multe dintre ele „hub-uri” spre care converg cheile străine ale altor tabele.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5482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5482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Reprezintă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5482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 ce este principal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Utilizatorii sistemului (agenți de vânzări, admini, traineri).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Hub: contacte, oportunități, activități, facturi îi referă prin assigned_to / created_by.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Lead-uri și clienți, atât persoane (B2C) cât și companii (B2B).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Entitatea centrală a unui CRM; referită de aproape toate celelalte tabele.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courses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Catalogul de cursuri IT oferite.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Stă la baza sesiunilor, înscrierilor și licitațiilor.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trainers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Trainerii care livrează cursurile.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Resursă-cheie alocată sesiunilor de curs.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course_sessions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Instanțe concrete (date, locație) ale unui curs.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Leagă cursul de trainer și de participanți (înscrieri).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enrollments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Înscrierea unui contact la o sesiune de curs.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de legătură (N:M) între contacte și sesiuni; sursă de venit.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opportunities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Oportunități de vânzare B2B (pipeline).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Hub pentru propuneri, contracte, activități și licitații.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employees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Angajații companiilor-client (profil de lucru și interese).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Date necesare recomandărilor AI (cerința #4).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auctions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Licitații în care companiile licitează pentru un curs.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Funcționalitate de bidding (cerința #2).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bids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Ofertele (sumele) depuse de companii într-o licitație.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Determină câștigătorul licitației.</w:t>
            </w:r>
          </w:p>
        </w:tc>
      </w:tr>
    </w:tbl>
    <w:p>
      <w:pPr>
        <w:pStyle w:val="Heading2"/>
      </w:pPr>
      <w:r>
        <w:t xml:space="preserve">6.2 Tabele SECUNDARE (de suport)</w:t>
      </w:r>
    </w:p>
    <w:p>
      <w:pPr>
        <w:spacing w:after="120" w:before="0"/>
      </w:pPr>
      <w:r>
        <w:t xml:space="preserve">Depind de tabelele principale și acoperă zona financiară, de monitorizare și de evenimente.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BF8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BF8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Reprezintă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BF8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Depinde de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proposals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Propuneri comerciale pentru o oportunitate.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opportunities, users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Contracte semnate cu clientul.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opportunities, contacts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Facturi emise.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contracts, enrollments, contacts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Plăți încasate pe facturi / înscrieri.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invoices, enrollments, users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activities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Interacțiuni (apeluri, întâlniri, e-mailuri).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contacts, opportunities, users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lead_score_logs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Istoricul modificărilor scorului de lead.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contacts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Jurnal de audit al modificărilor din sistem.</w:t>
            </w:r>
          </w:p>
        </w:tc>
        <w:tc>
          <w:tcPr>
            <w:tcW w:type="dxa" w:w="4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Legendă: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principal (entitate centrală)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secundar (de suport)</w:t>
            </w:r>
          </w:p>
        </w:tc>
      </w:tr>
    </w:tbl>
    <w:p>
      <w:pPr>
        <w:pStyle w:val="Heading1"/>
        <w:pageBreakBefore/>
      </w:pPr>
      <w:r>
        <w:t xml:space="preserve">7. Diagrama entitate-relație (ERD)</w:t>
      </w:r>
    </w:p>
    <w:p>
      <w:pPr>
        <w:spacing w:after="120" w:before="0"/>
      </w:pPr>
      <w:r>
        <w:t xml:space="preserve">Diagrama de mai jos prezintă vizual entitățile și legăturile dintre ele. Casetele verzi sunt tabele principale, cele chihlimbar sunt secundare. Săgețile „→” se citesc „referă / aparține de”.</w:t>
      </w:r>
    </w:p>
    <w:p>
      <w:pPr>
        <w:pStyle w:val="Heading2"/>
      </w:pPr>
      <w:r>
        <w:t xml:space="preserve">7.1 Hub: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c>
                <w:tcPr>
                  <w:tcW w:type="dxa" w:w="30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USERS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i/>
                <w:iCs/>
                <w:color w:val="C00000"/>
                <w:sz w:val="16"/>
                <w:szCs w:val="16"/>
              </w:rPr>
              <w:t xml:space="preserve">↓  este referit (assigned_to / created_by) de: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contacts</w:t>
                  </w:r>
                </w:p>
              </w:tc>
              <w:tc>
                <w:tcPr>
                  <w:tcW w:type="dxa" w:w="187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opportunities</w:t>
                  </w:r>
                </w:p>
              </w:tc>
              <w:tc>
                <w:tcPr>
                  <w:tcW w:type="dxa" w:w="187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activities</w:t>
                  </w:r>
                </w:p>
              </w:tc>
              <w:tc>
                <w:tcPr>
                  <w:tcW w:type="dxa" w:w="187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proposals</w:t>
                  </w:r>
                </w:p>
              </w:tc>
              <w:tc>
                <w:tcPr>
                  <w:tcW w:type="dxa" w:w="1872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trainers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7.2 Hub: CONTACTS (clienți / lead-uri)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c>
                <w:tcPr>
                  <w:tcW w:type="dxa" w:w="30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CONTACTS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i/>
                <w:iCs/>
                <w:color w:val="C00000"/>
                <w:sz w:val="16"/>
                <w:szCs w:val="16"/>
              </w:rPr>
              <w:t xml:space="preserve">↓  este referit de: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1560"/>
              <w:gridCol w:w="1560"/>
              <w:gridCol w:w="1560"/>
              <w:gridCol w:w="1560"/>
              <w:gridCol w:w="1560"/>
            </w:tblGrid>
            <w:tr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enrollments</w:t>
                  </w:r>
                </w:p>
              </w:tc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opportunities</w:t>
                  </w:r>
                </w:p>
              </w:tc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employees</w:t>
                  </w:r>
                </w:p>
              </w:tc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contracts</w:t>
                  </w:r>
                </w:p>
              </w:tc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invoices</w:t>
                  </w:r>
                </w:p>
              </w:tc>
              <w:tc>
                <w:tcPr>
                  <w:tcW w:type="dxa" w:w="156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activities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7.3 Lanțul COURSE → SESSION →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7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00"/>
              <w:gridCol w:w="2400"/>
              <w:gridCol w:w="300"/>
              <w:gridCol w:w="2400"/>
            </w:tblGrid>
            <w:t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courses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C00000"/>
                    </w:rPr>
                    <w:t xml:space="preserve">→</w:t>
                  </w:r>
                </w:p>
              </w:tc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course_sessions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C00000"/>
                    </w:rPr>
                    <w:t xml:space="preserve">→</w:t>
                  </w:r>
                </w:p>
              </w:tc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enrollments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i/>
          <w:iCs/>
        </w:rPr>
        <w:t xml:space="preserve">De asemenea: </w:t>
      </w:r>
      <w:r>
        <w:rPr>
          <w:rFonts w:ascii="Consolas" w:cs="Consolas" w:eastAsia="Consolas" w:hAnsi="Consolas"/>
        </w:rPr>
        <w:t xml:space="preserve">trainers</w:t>
      </w:r>
      <w:r>
        <w:t xml:space="preserve"> → </w:t>
      </w:r>
      <w:r>
        <w:rPr>
          <w:rFonts w:ascii="Consolas" w:cs="Consolas" w:eastAsia="Consolas" w:hAnsi="Consolas"/>
        </w:rPr>
        <w:t xml:space="preserve">course_sessions</w:t>
      </w:r>
      <w:r>
        <w:t xml:space="preserve">  și  </w:t>
      </w:r>
      <w:r>
        <w:rPr>
          <w:rFonts w:ascii="Consolas" w:cs="Consolas" w:eastAsia="Consolas" w:hAnsi="Consolas"/>
        </w:rPr>
        <w:t xml:space="preserve">courses</w:t>
      </w:r>
      <w:r>
        <w:t xml:space="preserve"> → </w:t>
      </w:r>
      <w:r>
        <w:rPr>
          <w:rFonts w:ascii="Consolas" w:cs="Consolas" w:eastAsia="Consolas" w:hAnsi="Consolas"/>
        </w:rPr>
        <w:t xml:space="preserve">auctions</w:t>
      </w:r>
      <w:r>
        <w:t xml:space="preserve"> → </w:t>
      </w:r>
      <w:r>
        <w:rPr>
          <w:rFonts w:ascii="Consolas" w:cs="Consolas" w:eastAsia="Consolas" w:hAnsi="Consolas"/>
        </w:rPr>
        <w:t xml:space="preserve">bids</w:t>
      </w:r>
      <w:r>
        <w:t xml:space="preserve">.</w:t>
      </w:r>
    </w:p>
    <w:p>
      <w:pPr>
        <w:pStyle w:val="Heading2"/>
      </w:pPr>
      <w:r>
        <w:t xml:space="preserve">7.4 Lanțul financiar (tabele secundare)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8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00"/>
              <w:gridCol w:w="2600"/>
              <w:gridCol w:w="300"/>
              <w:gridCol w:w="2600"/>
            </w:tblGrid>
            <w:tr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C6E0B4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opportunities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C00000"/>
                    </w:rPr>
                    <w:t xml:space="preserve">→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contracts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C00000"/>
                    </w:rPr>
                    <w:t xml:space="preserve">→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FE69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invoices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  <w:jc w:val="center"/>
            </w:pPr>
            <w:r>
              <w:rPr>
                <w:i/>
                <w:iCs/>
                <w:color w:val="C00000"/>
                <w:sz w:val="16"/>
                <w:szCs w:val="16"/>
              </w:rPr>
              <w:t xml:space="preserve">↓  invoices ← payments (plăți pe factură)</w:t>
            </w:r>
          </w:p>
        </w:tc>
      </w:tr>
    </w:tbl>
    <w:p>
      <w:pPr>
        <w:pStyle w:val="Heading1"/>
        <w:pageBreakBefore/>
      </w:pPr>
      <w:r>
        <w:t xml:space="preserve">8. Tabel cu legăturile (chei străine / interogări SQL)</w:t>
      </w:r>
    </w:p>
    <w:p>
      <w:pPr>
        <w:spacing w:after="120" w:before="0"/>
      </w:pPr>
      <w:r>
        <w:t xml:space="preserve">Acesta este tabelul cerut explicit: legăturile dintre tabele de tipul „interogare SQL”. Fiecare rând descrie o cheie străină (FK): din ce tabel pleacă, prin ce coloană, către ce tabel ajunge, ce tip de relație reprezintă și un exemplu de JOIN.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600"/>
        <w:gridCol w:w="14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Tabel sursă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Coloană (FK)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→ Tabel țintă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Relație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Exemplu de JOIN (SQL)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c.assigned_to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trainers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t.user_id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course_sessions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courses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courses c ON s.course_id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course_sessions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trainer_id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trainers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trainers t ON s.trainer_id = t.id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enrollments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course_sessions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course_sessions s ON e.session_id = s.id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enrollments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e.contact_id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o.client_id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o.assigned_to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proposals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opportunities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opportunities o ON p.opportunity_id = o.id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proposals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p.created_by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contracts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opportunities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opportunities o ON k.opportunity_id = o.id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contracts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k.client_id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invoices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contracts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contracts k ON i.contract_id = k.id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invoices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enrollment_id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enrollments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enrollments e ON i.enrollment_id = e.id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invoices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i.client_id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invoice_id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invoices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invoices i ON pm.invoice_id = i.id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enrollment_id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enrollments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enrollments e ON pm.enrollment_id = e.id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pm.created_by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activities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a.contact_id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activities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opportunities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opportunities o ON a.opportunity_id = o.id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activities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a.assigned_to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lead_score_logs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l.contact_id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audit_logs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users u ON al.user_id = 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em.company_id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courses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courses c ON au.course_id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winner_company_id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au.winner_company_id = c.id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bids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auctions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auctions au ON b.auction_id = au.id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bids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N:1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contacts c ON b.company_id = c.id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Notă: </w:t>
      </w:r>
      <w:r>
        <w:rPr>
          <w:i/>
          <w:iCs/>
        </w:rPr>
        <w:t xml:space="preserve">relațiile employees, auctions și bids către contacts/courses sunt logice (impuse de aplicație). Tabelele lor sunt create de WebSchemaInitializer cu indecși, fără constrângeri FK fizice, pentru a rămâne compatibile cu baza de date moștenită.</w:t>
      </w:r>
    </w:p>
    <w:p>
      <w:pPr>
        <w:pStyle w:val="Heading2"/>
      </w:pPr>
      <w:r>
        <w:t xml:space="preserve">8.1 Exemplu de interogare completă (raport de înscrieri)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 c.first_name, c.last_name,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co.name        AS curs,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s.start_date,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t.last_name    AS trainer,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e.final_price, e.payment_status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       enrollments     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JOIN        course_sessions  s  ON e.session_id = s.id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JOIN        courses          co ON s.course_id  = co.id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JOIN        contacts         c  ON e.contact_id = c.id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LEFT JOIN   trainers         t  ON s.trainer_id = t.id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WHERE       e.status = 'CONFIRMED'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   s.start_date;</w:t>
            </w:r>
          </w:p>
        </w:tc>
      </w:tr>
    </w:tbl>
    <w:p>
      <w:pPr>
        <w:pStyle w:val="Heading1"/>
        <w:pageBreakBefore/>
      </w:pPr>
      <w:r>
        <w:t xml:space="preserve">9. Funcționalitățile de Inteligență Artificială</w:t>
      </w:r>
    </w:p>
    <w:p>
      <w:pPr>
        <w:spacing w:after="120" w:before="0"/>
      </w:pPr>
      <w:r>
        <w:t xml:space="preserve">Trei funcții AI sunt construite peste API-ul Claude (Anthropic), accesate prin clasa ClaudeClient. Serviciul AiService adună contextul de domeniu (companie, angajați, catalog) și construiește prompturile.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030A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Funcție AI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030A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</w:rPr>
              <w:t xml:space="preserve">Recomandări de cursuri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 baza profilului companiei și al angajaților (work_profile, interest_profiles), modelul returnează un JSON cu cursurile potrivite și un scor de potrivire 0–100 (cerințele #3 și #4).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</w:rPr>
              <w:t xml:space="preserve">Asistent de vânzări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Sprijină echipa de vânzări cu sugestii și argumentare comercială (cerința #6).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</w:rPr>
              <w:t xml:space="preserve">Chatbot</w:t>
            </w:r>
          </w:p>
        </w:tc>
        <w:tc>
          <w:tcPr>
            <w:tcW w:type="dxa" w:w="6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Componenta Chatbot.tsx din frontend conversează cu vizitatorii prin endpointul /api/ai (cerința #5).</w:t>
            </w:r>
          </w:p>
        </w:tc>
      </w:tr>
    </w:tbl>
    <w:p>
      <w:pPr>
        <w:pStyle w:val="Heading2"/>
      </w:pPr>
      <w:r>
        <w:t xml:space="preserve">9.1 Fluxul unei recomandări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 (pagina companiei) — cere recomandări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GET /api/ai/recommendations/{companyId}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548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AiController → AiService.recommendCoursesForCompany()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adună: Contact (companie) + Employees + Catalog cursuri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construiește prompt +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ClaudeClient → Anthropic Claude API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model AI generează lista de cursuri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C00000"/>
          <w:sz w:val="20"/>
          <w:szCs w:val="20"/>
        </w:rPr>
        <w:t xml:space="preserve">▼</w:t>
      </w:r>
      <w:r>
        <w:rPr>
          <w:i/>
          <w:iCs/>
          <w:color w:val="808080"/>
          <w:sz w:val="16"/>
          <w:szCs w:val="16"/>
        </w:rPr>
        <w:t xml:space="preserve">  răspuns JSON (courseId, courseName, reason, matchScore)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 afișează cursurile recomandate</w:t>
            </w:r>
          </w:p>
        </w:tc>
      </w:tr>
    </w:tbl>
    <w:p>
      <w:pPr>
        <w:pStyle w:val="Heading1"/>
        <w:pageBreakBefore/>
      </w:pPr>
      <w:r>
        <w:t xml:space="preserve">10. Modulul de licitație (Auction / Bidding)</w:t>
      </w:r>
    </w:p>
    <w:p>
      <w:pPr>
        <w:spacing w:after="120" w:before="0"/>
      </w:pPr>
      <w:r>
        <w:t xml:space="preserve">Cerința #2: companiile aflate în etapa </w:t>
      </w:r>
      <w:r>
        <w:rPr>
          <w:b/>
          <w:bCs/>
          <w:color w:val="1F4E79"/>
        </w:rPr>
        <w:t xml:space="preserve">NEGOTIATION</w:t>
      </w:r>
      <w:r>
        <w:t xml:space="preserve"> pot licita pentru un curs; cine oferă suma cea mai mare câștigă. Modulul folosește entitățile </w:t>
      </w:r>
      <w:r>
        <w:rPr>
          <w:rFonts w:ascii="Consolas" w:cs="Consolas" w:eastAsia="Consolas" w:hAnsi="Consolas"/>
        </w:rPr>
        <w:t xml:space="preserve">Auction</w:t>
      </w:r>
      <w:r>
        <w:t xml:space="preserve"> și </w:t>
      </w:r>
      <w:r>
        <w:rPr>
          <w:rFonts w:ascii="Consolas" w:cs="Consolas" w:eastAsia="Consolas" w:hAnsi="Consolas"/>
        </w:rPr>
        <w:t xml:space="preserve">Bid</w:t>
      </w:r>
      <w:r>
        <w:t xml:space="preserve">, coordonate de AuctionService și expuse prin /api/auctions.</w:t>
      </w:r>
    </w:p>
    <w:p>
      <w:pPr>
        <w:pStyle w:val="Heading2"/>
      </w:pPr>
      <w:r>
        <w:t xml:space="preserve">10.1 Fluxul licitației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Administratorul deschide o licitație (auctions) pentru un curs, cu un preț de pornire și un termen (closes_at).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Companiile eligibile (cu o oportunitate în etapa NEGOTIATION) depun oferte (bids) cu sume tot mai mari.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închidere, oferta cu suma cea mai mare este declarată câștigătoare; auctions.winner_company_id și winning_amount sunt completate.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Compania câștigătoare obține dreptul la curs, iar oportunitatea poate avansa spre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Câmp cheie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auctions.status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OPEN / CLOSED / AWARDED — starea licitației (enum AuctionStatus).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auctions.starting_price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Suma minimă de pornire.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bids.amount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Suma oferită de o companie; cea mai mare câștigă.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auctions.winner_company_id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Compania câștigătoare (referă contacts).</w:t>
            </w:r>
          </w:p>
        </w:tc>
      </w:tr>
    </w:tbl>
    <w:p>
      <w:pPr>
        <w:pStyle w:val="Heading1"/>
        <w:pageBreakBefore/>
      </w:pPr>
      <w:r>
        <w:t xml:space="preserve">11. API-ul REST (puncte de acces)</w:t>
      </w:r>
    </w:p>
    <w:p>
      <w:pPr>
        <w:spacing w:after="120" w:before="0"/>
      </w:pPr>
      <w:r>
        <w:t xml:space="preserve">Backend-ul expune logica printr-un set de controllere REST. Acestea sunt „interogările” pe care frontend-ul le folosește pentru a citi și modifica datele.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Endpoint de bază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Responsabilitate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/api/public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PublicCatalogController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Zona publică: companii și cursuri vizibile vizitatorilor (cerința #1).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/api/contacts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ContactController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Lead-uri și clienți (B2C / B2B).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/api/opportunities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OpportunityController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Pipeline-ul de oportunități B2B.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/api/auctions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AuctionController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Licitațiile și ofertele (cerința #2).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/api/courses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CourseController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Catalogul de cursuri.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/api/employees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Angajații companiilor (profil + interese).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/api/enrollments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EnrollmentController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Înscrierile la sesiuni.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/api/activities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ActivityController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Activități / interacțiuni.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/api/ai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Recomandări, asistent de vânzări, chatbot (cerințele #3, #5, #6).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/api/stats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StatsController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Statistici și indicatori.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/api/meta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MetaController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Date de configurare / enumerări pentru interfață.</w:t>
            </w:r>
          </w:p>
        </w:tc>
      </w:tr>
    </w:tbl>
    <w:p>
      <w:pPr>
        <w:pStyle w:val="Heading1"/>
        <w:pageBreakBefore/>
      </w:pPr>
      <w:r>
        <w:t xml:space="preserve">12. Jurnal cronologic de dezvoltare</w:t>
      </w:r>
    </w:p>
    <w:p>
      <w:pPr>
        <w:spacing w:after="120" w:before="0"/>
      </w:pPr>
      <w:r>
        <w:t xml:space="preserve">Etapele majore ale proiectului, reconstituite din istoricul de versiuni (git) și din structura codului.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Etapă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Reper</w:t>
            </w:r>
          </w:p>
        </w:tc>
        <w:tc>
          <w:tcPr>
            <w:tcW w:type="dxa" w:w="4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 s-a realizat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Proiect fără interfață</w:t>
            </w:r>
          </w:p>
        </w:tc>
        <w:tc>
          <w:tcPr>
            <w:tcW w:type="dxa" w:w="4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Modelul de domeniu, accesul la date (DAO/Repository), serviciile și șabloanele de proiectare; rularea în consolă.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Etapa 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Interfața CRM Swing</w:t>
            </w:r>
          </w:p>
        </w:tc>
        <w:tc>
          <w:tcPr>
            <w:tcW w:type="dxa" w:w="4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Interfață Desktop (Java Swing): contacte, pipeline, cursuri, activități, statistici.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Etapa 3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Transformarea în Web</w:t>
            </w:r>
          </w:p>
        </w:tc>
        <w:tc>
          <w:tcPr>
            <w:tcW w:type="dxa" w:w="4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Expunerea logicii printr-un API REST Spring Boot; păstrarea logicii de business existente.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Etapa 4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Funcții web + AI</w:t>
            </w:r>
          </w:p>
        </w:tc>
        <w:tc>
          <w:tcPr>
            <w:tcW w:type="dxa" w:w="4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Tabelele employees / auctions / bids; integrarea Claude pentru recomandări, chatbot și asistent de vânzări; frontend Next.js.</w:t>
            </w:r>
          </w:p>
        </w:tc>
      </w:tr>
    </w:tbl>
    <w:p>
      <w:pPr>
        <w:pStyle w:val="Heading2"/>
      </w:pPr>
      <w:r>
        <w:t xml:space="preserve">12.1 Concluzii și pași următori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Toate cele 8 cerințe obligatorii sunt acoperite în implementarea actuală.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Arhitectura stratificată și șabloanele de proiectare oferă o bază solidă pentru extindere.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 următor recomandat: </w:t>
      </w:r>
      <w:r>
        <w:t xml:space="preserve">aducerea tabelelor employees / auctions / bids în schema oficială cu constrângeri FK fizice și antrenarea/îmbunătățirea modelului de recomandare.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CRM Training IT — Jurnal de proiect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Jurnal detaliat de proiect — CRM Training IT</dc:title>
  <dc:creator>Raul Veca</dc:creator>
  <cp:lastModifiedBy>Un-named</cp:lastModifiedBy>
  <cp:revision>1</cp:revision>
  <dcterms:created xsi:type="dcterms:W3CDTF">2026-06-25T10:18:14.101Z</dcterms:created>
  <dcterms:modified xsi:type="dcterms:W3CDTF">2026-06-25T10:18:14.102Z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