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La matriz DOFA de TI de Valor+: cómo se hizo y de dónde salen los datos</w:t>
      </w:r>
    </w:p>
    <w:p>
      <w:pPr>
        <w:spacing w:after="120"/>
      </w:pPr>
      <w:r>
        <w:t>Nota de apoyo para la sustentación del PETI 2027-2030 (versión 1.12). Explica qué es la DOFA del PETI, con qué método se construyó, de qué fuente sale cada factor y cómo se conecta con los proyectos.</w:t>
      </w:r>
    </w:p>
    <w:p>
      <w:pPr>
        <w:pStyle w:val="Heading1"/>
      </w:pPr>
      <w:r>
        <w:rPr>
          <w:rFonts w:ascii="Arial" w:hAnsi="Arial"/>
          <w:color w:val="1F3A5F"/>
        </w:rPr>
        <w:t>1. Por qué el PETI tiene una DOFA</w:t>
      </w:r>
    </w:p>
    <w:p>
      <w:pPr>
        <w:spacing w:after="120"/>
      </w:pPr>
      <w:r>
        <w:t>La guía del MinTIC para construir el PETI (MGGTI.GE.ES.03, versión 3.0) pide en la actividad 6, "Analizar y diagnosticar la gestión de TI", un diagnóstico por cada dominio del Marco de Referencia de Arquitectura Empresarial y una DOFA por dominio. El Anexo 1 de la guía trae el formato (hoja "Actividad 6"). Por eso la DOFA está al final del numeral 6 del PETI, después del diagnóstico de los siete dominios.</w:t>
      </w:r>
    </w:p>
    <w:p>
      <w:pPr>
        <w:spacing w:after="120"/>
      </w:pPr>
      <w:r>
        <w:t>Valor+ no tiene una DOFA oficial de TI publicada: en los PETI 2024 y 2026-2027 y en los informes de gestión no aparece una. Por eso la DOFA es elaboración del equipo, armada con datos de documentos públicos de Valor+.</w:t>
      </w:r>
    </w:p>
    <w:p>
      <w:pPr>
        <w:pStyle w:val="Heading1"/>
      </w:pPr>
      <w:r>
        <w:rPr>
          <w:rFonts w:ascii="Arial" w:hAnsi="Arial"/>
          <w:color w:val="1F3A5F"/>
        </w:rPr>
        <w:t>2. Cómo se construyó, paso a paso</w:t>
      </w:r>
    </w:p>
    <w:p>
      <w:pPr>
        <w:pStyle w:val="ListBullet"/>
      </w:pPr>
      <w:r>
        <w:t>Paso 1. Diagnóstico por dominio. En el numeral 6 se revisó cada uno de los siete dominios (Estrategia, Gobierno, Información, Sistemas, Infraestructura, Uso y apropiación, Seguridad). Cada hallazgo quedó con un código corto y su fuente: E1, G6, S1, T3, SG1, etc.</w:t>
      </w:r>
    </w:p>
    <w:p>
      <w:pPr>
        <w:pStyle w:val="ListBullet"/>
      </w:pPr>
      <w:r>
        <w:t>Paso 2. Factores internos (fortalezas y debilidades). Salen de esos hallazgos. Lo que Valor+ hace bien y está medido es fortaleza; lo que falta o no alcanza es debilidad.</w:t>
      </w:r>
    </w:p>
    <w:p>
      <w:pPr>
        <w:pStyle w:val="ListBullet"/>
      </w:pPr>
      <w:r>
        <w:t>Paso 3. Factores externos (oportunidades y amenazas). Salen de los motivadores del numeral 5: planes del Departamento y del IDEA, normas que obligan a la entidad, mercado y riesgos del entorno.</w:t>
      </w:r>
    </w:p>
    <w:p>
      <w:pPr>
        <w:pStyle w:val="ListBullet"/>
      </w:pPr>
      <w:r>
        <w:t>Paso 4. Tabla por dominio. Se llenó la tabla "DOFA por dominio de TI" (siete filas, una por dominio), que es el formato que pide la guía.</w:t>
      </w:r>
    </w:p>
    <w:p>
      <w:pPr>
        <w:pStyle w:val="ListBullet"/>
      </w:pPr>
      <w:r>
        <w:t>Paso 5. Matriz resumida. Se escogió un factor clave por dominio (F1 a F7 y D1 a D7) y los cinco factores externos de más peso (O1 a O5 y A1 a A5), y se dibujó la matriz de cuatro cuadrantes.</w:t>
      </w:r>
    </w:p>
    <w:p>
      <w:pPr>
        <w:pStyle w:val="ListBullet"/>
      </w:pPr>
      <w:r>
        <w:t>Paso 6. Matriz cruzada. Se combinaron los factores en estrategias FO, DO, FA y DA, y cada estrategia se enlazó con los proyectos del portafolio que la ejecutan.</w:t>
      </w:r>
    </w:p>
    <w:p>
      <w:pPr>
        <w:spacing w:after="120"/>
      </w:pPr>
      <w:r>
        <w:t>La matriz se dibujó primero con un script de Python (figura del Word) y después se pasó a Visual Paradigm Online, una de las herramientas que sugirió el profesor, en la cuenta del equipo, con el nombre "Matriz DOFA de TI de Valor+". El contenido es el mismo en las 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f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Figura 1. Matriz DOFA de TI de Valor+ (PETI 2027-2030, numeral 6).</w:t>
      </w:r>
    </w:p>
    <w:p>
      <w:pPr>
        <w:pStyle w:val="Heading1"/>
      </w:pPr>
      <w:r>
        <w:rPr>
          <w:rFonts w:ascii="Arial" w:hAnsi="Arial"/>
          <w:color w:val="1F3A5F"/>
        </w:rPr>
        <w:t>3. De dónde sale cada factor</w:t>
      </w:r>
    </w:p>
    <w:p>
      <w:pPr>
        <w:spacing w:after="120"/>
      </w:pPr>
      <w:r>
        <w:t>IG 2025 = Informe de gestión 2025 de Valor+. PETI 26-27 = PETI 2026-2027 de Valor+. Todos son documentos publicados en el sitio web de la entidad.</w:t>
      </w:r>
    </w:p>
    <w:p>
      <w:pPr>
        <w:pStyle w:val="Heading2"/>
      </w:pPr>
      <w:r>
        <w:rPr>
          <w:rFonts w:ascii="Arial" w:hAnsi="Arial"/>
          <w:color w:val="1F3A5F"/>
        </w:rPr>
        <w:t>Fortalezas (internas, positivas)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</w:tcPr>
          <w:p>
            <w:r>
              <w:rPr>
                <w:b/>
                <w:sz w:val="18"/>
              </w:rPr>
              <w:t>Código</w:t>
            </w:r>
          </w:p>
        </w:tc>
        <w:tc>
          <w:tcPr>
            <w:tcW w:type="dxa" w:w="5386"/>
          </w:tcPr>
          <w:p>
            <w:r>
              <w:rPr>
                <w:b/>
                <w:sz w:val="18"/>
              </w:rPr>
              <w:t>Factor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Fuente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ANS de clientes cumplidos: 95,71 % (meta 94 %)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IG 2025, pág. 16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F2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Riesgos gestionados con tres líneas de defensa y Comité de Riesgos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PETI 26-27, pág. 41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F3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Activos de información inventariados; PINAR y plan de preservación digital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IG 2025 (gestión documental: PINAR aprobado hasta 2027)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F4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ERP financiero en SaaS; software propio registrado (Carriel)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PETI 26-27, págs. 33-37; IG 2025, págs. 17 y 35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F5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Nube en AWS, Oracle y Azure sin hallazgos críticos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PETI 26-27, págs. 48-51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F6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Boletín mensual de ciberseguridad para todo el personal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IG 2025, págs. 87-88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F7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SGSI actualizado al MSPI 2025; 100 % de ataques bloqueados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IG 2025, págs. 17 y 87-89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3A5F"/>
        </w:rPr>
        <w:t>Debilidades (internas, negativas)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</w:tcPr>
          <w:p>
            <w:r>
              <w:rPr>
                <w:b/>
                <w:sz w:val="18"/>
              </w:rPr>
              <w:t>Código</w:t>
            </w:r>
          </w:p>
        </w:tc>
        <w:tc>
          <w:tcPr>
            <w:tcW w:type="dxa" w:w="5386"/>
          </w:tcPr>
          <w:p>
            <w:r>
              <w:rPr>
                <w:b/>
                <w:sz w:val="18"/>
              </w:rPr>
              <w:t>Factor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Fuente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Visión y objetivos de TI sin metas; sin catálogo de servicios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PETI 26-27 (análisis del equipo, hallazgos E1-E3)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Ninguna instancia decide sobre TI; auditoría interna de TI en 49 %; sin cargo de seguridad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IG 2025, pág. 49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Datos sin responsables ni medición de calidad; archivos sin control de versiones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PETI 26-27 (hallazgos I1, I3, I6)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Procesos comercial y de servicio en Excel; ERP integrado sin decidir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PETI 26-27, pág. 33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D5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Servicios críticos aún en sitio; sin plan de capacidad; IPv6 atrasado frente al plazo de 2022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PETI 26-27; Resolución 1126 de 2021 del MinTIC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D6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Sin estrategia de uso y apropiación de TI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No se encontró en las fuentes (hallazgo U1)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D7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Incidentes sin gestión constante; recuperación sin probar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IG 2025, págs. 87-89 (continuidad en primera fase)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3A5F"/>
        </w:rPr>
        <w:t>Oportunidades (externas, positivas)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</w:tcPr>
          <w:p>
            <w:r>
              <w:rPr>
                <w:b/>
                <w:sz w:val="18"/>
              </w:rPr>
              <w:t>Código</w:t>
            </w:r>
          </w:p>
        </w:tc>
        <w:tc>
          <w:tcPr>
            <w:tcW w:type="dxa" w:w="5386"/>
          </w:tcPr>
          <w:p>
            <w:r>
              <w:rPr>
                <w:b/>
                <w:sz w:val="18"/>
              </w:rPr>
              <w:t>Factor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Fuente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O1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Plan Estratégico y Plan de Desarrollo de Antioquia que demandan TI; 48 contratos activos (60 % más que en 2024)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IG 2025, págs. 129-130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O2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PMO en construcción; FURAG con Gobierno Digital en 86,3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IG 2025, págs. 9-11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O3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Oferta madura de ERP, CRM y BPMS en la nube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Análisis del equipo (tendencias, numeral 6)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O4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Demanda de SOC por los municipios; analítica e IA que Valor+ ya vende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IG 2025, págs. 89-92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O5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Acuerdo 001 de 2024 del AGN y MSPI como guías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Normas citadas en el numeral 3 del PETI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3A5F"/>
        </w:rPr>
        <w:t>Amenazas (externas, negativas)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</w:tcPr>
          <w:p>
            <w:r>
              <w:rPr>
                <w:b/>
                <w:sz w:val="18"/>
              </w:rPr>
              <w:t>Código</w:t>
            </w:r>
          </w:p>
        </w:tc>
        <w:tc>
          <w:tcPr>
            <w:tcW w:type="dxa" w:w="5386"/>
          </w:tcPr>
          <w:p>
            <w:r>
              <w:rPr>
                <w:b/>
                <w:sz w:val="18"/>
              </w:rPr>
              <w:t>Factor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Fuente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Ransomware y phishing contra entidades públicas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Tendencias de seguridad (numeral 6); CONPES 3995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Fin del Plan Estratégico (2027) y cambio de gobierno departamental (2028)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IG 2025, págs. 13 y 16 (vigencia del PEI 2024-2027)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Contraloría General de Antioquia: control fiscal interno calificado con 2,0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IG 2025, pág. 126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Dependencia de proveedores SaaS y del proveedor de internet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Análisis del equipo (numeral 6)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Rotación de personal y procedimientos desactualizados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IG 2025, pág. 48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3A5F"/>
        </w:rPr>
        <w:t>4. De la DOFA a los proyectos (matriz cruzada)</w:t>
      </w:r>
    </w:p>
    <w:p>
      <w:pPr>
        <w:spacing w:after="120"/>
      </w:pPr>
      <w:r>
        <w:t>La DOFA no se queda en un diagnóstico: cada estrategia lleva a proyectos del portafolio (numeral 8 del PETI).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37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6350"/>
          </w:tcPr>
          <w:p>
            <w:r>
              <w:rPr>
                <w:b/>
                <w:sz w:val="18"/>
              </w:rPr>
              <w:t>Estrategia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Proyectos</w:t>
            </w:r>
          </w:p>
        </w:tc>
      </w:tr>
      <w:tr>
        <w:tc>
          <w:tcPr>
            <w:tcW w:type="dxa" w:w="737"/>
          </w:tcPr>
          <w:p>
            <w:r>
              <w:rPr>
                <w:sz w:val="18"/>
              </w:rPr>
              <w:t>FO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FO1 (F7 + O4): usar el SOC propio como base del servicio SOC para municipios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P1.4</w:t>
            </w:r>
          </w:p>
        </w:tc>
      </w:tr>
      <w:tr>
        <w:tc>
          <w:tcPr>
            <w:tcW w:type="dxa" w:w="737"/>
          </w:tcPr>
          <w:p>
            <w:r>
              <w:rPr>
                <w:sz w:val="18"/>
              </w:rPr>
              <w:t>FO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FO2 (F1 + O4): llevar la IA que ya se vende a las PQRSD y a la mesa interna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P4.2</w:t>
            </w:r>
          </w:p>
        </w:tc>
      </w:tr>
      <w:tr>
        <w:tc>
          <w:tcPr>
            <w:tcW w:type="dxa" w:w="737"/>
          </w:tcPr>
          <w:p>
            <w:r>
              <w:rPr>
                <w:sz w:val="18"/>
              </w:rPr>
              <w:t>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DO1 (D4 + O3): reemplazar Excel con ERP, CRM y BPMS en la nube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P1.5, P2.2, P3.1</w:t>
            </w:r>
          </w:p>
        </w:tc>
      </w:tr>
      <w:tr>
        <w:tc>
          <w:tcPr>
            <w:tcW w:type="dxa" w:w="737"/>
          </w:tcPr>
          <w:p>
            <w:r>
              <w:rPr>
                <w:sz w:val="18"/>
              </w:rPr>
              <w:t>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DO2 (D1 + D2 + O2): Comité de TI, catálogo de servicios y procesos con la PMO y el MIPG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P1.1, P1.2, P1.3</w:t>
            </w:r>
          </w:p>
        </w:tc>
      </w:tr>
      <w:tr>
        <w:tc>
          <w:tcPr>
            <w:tcW w:type="dxa" w:w="737"/>
          </w:tcPr>
          <w:p>
            <w:r>
              <w:rPr>
                <w:sz w:val="18"/>
              </w:rPr>
              <w:t>DO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DO3 (D3 + O5): gobierno de datos y gestión documental electrónica (SGDEA)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P2.1, P2.5</w:t>
            </w:r>
          </w:p>
        </w:tc>
      </w:tr>
      <w:tr>
        <w:tc>
          <w:tcPr>
            <w:tcW w:type="dxa" w:w="737"/>
          </w:tcPr>
          <w:p>
            <w:r>
              <w:rPr>
                <w:sz w:val="18"/>
              </w:rPr>
              <w:t>FA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FA1 (F2 + F5 + A1 + A4): probar la recuperación y tener contingencia en la nube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P1.6, P2.4</w:t>
            </w:r>
          </w:p>
        </w:tc>
      </w:tr>
      <w:tr>
        <w:tc>
          <w:tcPr>
            <w:tcW w:type="dxa" w:w="737"/>
          </w:tcPr>
          <w:p>
            <w:r>
              <w:rPr>
                <w:sz w:val="18"/>
              </w:rPr>
              <w:t>FA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FA2 (F2 + A2 + A3): revisión anual del PETI y trazabilidad para los entes de control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P1.1, P4.1</w:t>
            </w:r>
          </w:p>
        </w:tc>
      </w:tr>
      <w:tr>
        <w:tc>
          <w:tcPr>
            <w:tcW w:type="dxa" w:w="737"/>
          </w:tcPr>
          <w:p>
            <w:r>
              <w:rPr>
                <w:sz w:val="18"/>
              </w:rPr>
              <w:t>DA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DA1 (D7 + A1): gestión de incidentes con responsable dedicado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P1.4, P1.1</w:t>
            </w:r>
          </w:p>
        </w:tc>
      </w:tr>
      <w:tr>
        <w:tc>
          <w:tcPr>
            <w:tcW w:type="dxa" w:w="737"/>
          </w:tcPr>
          <w:p>
            <w:r>
              <w:rPr>
                <w:sz w:val="18"/>
              </w:rPr>
              <w:t>DA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DA2 (D5 + A4): migrar servicios críticos, IPv6 y plan de capacidad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P2.4, P1.6, P3.3</w:t>
            </w:r>
          </w:p>
        </w:tc>
      </w:tr>
      <w:tr>
        <w:tc>
          <w:tcPr>
            <w:tcW w:type="dxa" w:w="737"/>
          </w:tcPr>
          <w:p>
            <w:r>
              <w:rPr>
                <w:sz w:val="18"/>
              </w:rPr>
              <w:t>DA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DA3 (D6 + A5): programa de uso y apropiación y procedimientos actualizados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P2.6, P1.2</w:t>
            </w:r>
          </w:p>
        </w:tc>
      </w:tr>
    </w:tbl>
    <w:p/>
    <w:p>
      <w:pPr>
        <w:spacing w:after="120"/>
      </w:pPr>
      <w:r>
        <w:t>Así se lee la cadena completa: hallazgo con fuente (numeral 6) → factor de la DOFA → estrategia cruzada → brecha (numeral 7) → proyecto (numeral 8) → indicador (numeral 8) → riesgo.</w:t>
      </w:r>
    </w:p>
    <w:p>
      <w:pPr>
        <w:pStyle w:val="Heading1"/>
      </w:pPr>
      <w:r>
        <w:rPr>
          <w:rFonts w:ascii="Arial" w:hAnsi="Arial"/>
          <w:color w:val="1F3A5F"/>
        </w:rPr>
        <w:t>5. Si el profesor pregunta</w:t>
      </w:r>
    </w:p>
    <w:p>
      <w:pPr>
        <w:pStyle w:val="ListBullet"/>
      </w:pPr>
      <w:r>
        <w:t>¿Valor+ tiene DOFA oficial? No se encontró una publicada; esta es elaboración del equipo con fuentes públicas citadas.</w:t>
      </w:r>
    </w:p>
    <w:p>
      <w:pPr>
        <w:pStyle w:val="ListBullet"/>
      </w:pPr>
      <w:r>
        <w:t>¿Por qué por dominio? Porque la actividad 6 de la guía del MinTIC la pide así.</w:t>
      </w:r>
    </w:p>
    <w:p>
      <w:pPr>
        <w:pStyle w:val="ListBullet"/>
      </w:pPr>
      <w:r>
        <w:t>¿Los datos son inventados? No. Cada cifra tiene documento y página. Lo que es valoración del equipo se dice como "análisis del equipo".</w:t>
      </w:r>
    </w:p>
    <w:p>
      <w:pPr>
        <w:pStyle w:val="ListBullet"/>
      </w:pPr>
      <w:r>
        <w:t>¿Para qué sirve? La matriz cruzada muestra qué proyecto ataca cada debilidad o aprovecha cada oportunidad.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