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1.0</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22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el PETI 2025 (versión 3.0), el Informe de gestión 2025 y los estados financieros a marzo de 2024.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70"/>
        <w:gridCol w:w="4604"/>
        <w:gridCol w:w="2176"/>
      </w:tblGrid>
      <w:tr w:rsidR="003104D7" w:rsidRPr="00EB5D92" w14:paraId="6C749D85" w14:textId="77777777" w:rsidTr="00307AFF">
        <w:trPr>
          <w:trHeight w:val="580"/>
        </w:trPr>
        <w:tc>
          <w:tcPr>
            <w:tcW w:w="2770"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604"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176"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489 de 1998, arts. 39 y 97</w:t>
            </w:r>
          </w:p>
        </w:tc>
        <w:tc>
          <w:tcPr>
            <w:tcW w:w="4604"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176"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1258 de 2008</w:t>
            </w:r>
          </w:p>
        </w:tc>
        <w:tc>
          <w:tcPr>
            <w:tcW w:w="4604" w:type="dxa"/>
          </w:tcPr>
          <w:p w14:paraId="38A7A04F" w14:textId="3B0C1EE3" w:rsidR="00025890" w:rsidRPr="00EB5D92" w:rsidRDefault="00025890" w:rsidP="00CD0227">
            <w:pPr>
              <w:jc w:val="left"/>
            </w:pPr>
            <w:r>
              <w:t xml:space="preserve">Régimen de la sociedad por acciones simplificada</w:t>
            </w:r>
          </w:p>
        </w:tc>
        <w:tc>
          <w:tcPr>
            <w:tcW w:w="2176"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604"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176"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612 de 2018</w:t>
            </w:r>
          </w:p>
        </w:tc>
        <w:tc>
          <w:tcPr>
            <w:tcW w:w="4604"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176"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604" w:type="dxa"/>
          </w:tcPr>
          <w:p w14:paraId="38A7A04F" w14:textId="3B0C1EE3" w:rsidR="00025890" w:rsidRPr="00EB5D92" w:rsidRDefault="00025890" w:rsidP="00CD0227">
            <w:pPr>
              <w:jc w:val="left"/>
            </w:pPr>
            <w:r>
              <w:t xml:space="preserve">Arquitectura de TI, seguridad y privacidad, datos y servicios digitales</w:t>
            </w:r>
          </w:p>
        </w:tc>
        <w:tc>
          <w:tcPr>
            <w:tcW w:w="2176"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Resolución 500 de 2021 del MinTIC (MSPI)</w:t>
            </w:r>
          </w:p>
        </w:tc>
        <w:tc>
          <w:tcPr>
            <w:tcW w:w="4604" w:type="dxa"/>
          </w:tcPr>
          <w:p w14:paraId="38A7A04F" w14:textId="3B0C1EE3" w:rsidR="00025890" w:rsidRPr="00EB5D92" w:rsidRDefault="00025890" w:rsidP="00CD0227">
            <w:pPr>
              <w:jc w:val="left"/>
            </w:pPr>
            <w:r>
              <w:t xml:space="preserve">Modelo de Seguridad y Privacidad de la Información</w:t>
            </w:r>
          </w:p>
        </w:tc>
        <w:tc>
          <w:tcPr>
            <w:tcW w:w="2176"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338 de 2022 y CONPES 3995 de 2020</w:t>
            </w:r>
          </w:p>
        </w:tc>
        <w:tc>
          <w:tcPr>
            <w:tcW w:w="4604" w:type="dxa"/>
          </w:tcPr>
          <w:p w14:paraId="38A7A04F" w14:textId="3B0C1EE3" w:rsidR="00025890" w:rsidRPr="00EB5D92" w:rsidRDefault="00025890" w:rsidP="00CD0227">
            <w:pPr>
              <w:jc w:val="left"/>
            </w:pPr>
            <w:r>
              <w:t xml:space="preserve">Gobernanza de la seguridad digital y reporte de incidentes</w:t>
            </w:r>
          </w:p>
        </w:tc>
        <w:tc>
          <w:tcPr>
            <w:tcW w:w="2176"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604"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176"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2195 de 2022 y Ley 1474 de 2011</w:t>
            </w:r>
          </w:p>
        </w:tc>
        <w:tc>
          <w:tcPr>
            <w:tcW w:w="4604" w:type="dxa"/>
          </w:tcPr>
          <w:p w14:paraId="38A7A04F" w14:textId="3B0C1EE3" w:rsidR="00025890" w:rsidRPr="00EB5D92" w:rsidRDefault="00025890" w:rsidP="00CD0227">
            <w:pPr>
              <w:jc w:val="left"/>
            </w:pPr>
            <w:r>
              <w:t xml:space="preserve">Programa de Transparencia y Ética Pública, antes Plan Anticorrupción</w:t>
            </w:r>
          </w:p>
        </w:tc>
        <w:tc>
          <w:tcPr>
            <w:tcW w:w="2176"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1581 de 2012</w:t>
            </w:r>
          </w:p>
        </w:tc>
        <w:tc>
          <w:tcPr>
            <w:tcW w:w="4604" w:type="dxa"/>
          </w:tcPr>
          <w:p w14:paraId="38A7A04F" w14:textId="3B0C1EE3" w:rsidR="00025890" w:rsidRPr="00EB5D92" w:rsidRDefault="00025890" w:rsidP="00CD0227">
            <w:pPr>
              <w:jc w:val="left"/>
            </w:pPr>
            <w:r>
              <w:t xml:space="preserve">Protección de datos personales de clientes, ciudadanos y colaboradores</w:t>
            </w:r>
          </w:p>
        </w:tc>
        <w:tc>
          <w:tcPr>
            <w:tcW w:w="2176"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604" w:type="dxa"/>
          </w:tcPr>
          <w:p w14:paraId="38A7A04F" w14:textId="3B0C1EE3" w:rsidR="00025890" w:rsidRPr="00EB5D92" w:rsidRDefault="00025890" w:rsidP="00CD0227">
            <w:pPr>
              <w:jc w:val="left"/>
            </w:pPr>
            <w:r>
              <w:t xml:space="preserve">Gestión documental, documento electrónico y preservación digital</w:t>
            </w:r>
          </w:p>
        </w:tc>
        <w:tc>
          <w:tcPr>
            <w:tcW w:w="2176"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1755 de 2015</w:t>
            </w:r>
          </w:p>
        </w:tc>
        <w:tc>
          <w:tcPr>
            <w:tcW w:w="4604" w:type="dxa"/>
          </w:tcPr>
          <w:p w14:paraId="38A7A04F" w14:textId="3B0C1EE3" w:rsidR="00025890" w:rsidRPr="00EB5D92" w:rsidRDefault="00025890" w:rsidP="00CD0227">
            <w:pPr>
              <w:jc w:val="left"/>
            </w:pPr>
            <w:r>
              <w:t xml:space="preserve">Términos de respuesta de las peticiones (PQRSD)</w:t>
            </w:r>
          </w:p>
        </w:tc>
        <w:tc>
          <w:tcPr>
            <w:tcW w:w="2176"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87 de 1993</w:t>
            </w:r>
          </w:p>
        </w:tc>
        <w:tc>
          <w:tcPr>
            <w:tcW w:w="4604" w:type="dxa"/>
          </w:tcPr>
          <w:p w14:paraId="38A7A04F" w14:textId="3B0C1EE3" w:rsidR="00025890" w:rsidRPr="00EB5D92" w:rsidRDefault="00025890" w:rsidP="00CD0227">
            <w:pPr>
              <w:jc w:val="left"/>
            </w:pPr>
            <w:r>
              <w:t xml:space="preserve">Sistema de control interno y tercera línea de defensa</w:t>
            </w:r>
          </w:p>
        </w:tc>
        <w:tc>
          <w:tcPr>
            <w:tcW w:w="2176"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1150 de 2007, art. 14</w:t>
            </w:r>
          </w:p>
        </w:tc>
        <w:tc>
          <w:tcPr>
            <w:tcW w:w="4604"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176"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Resolución 2710 de 2017 del MinTIC</w:t>
            </w:r>
          </w:p>
        </w:tc>
        <w:tc>
          <w:tcPr>
            <w:tcW w:w="4604" w:type="dxa"/>
          </w:tcPr>
          <w:p w14:paraId="38A7A04F" w14:textId="3B0C1EE3" w:rsidR="00025890" w:rsidRPr="00EB5D92" w:rsidRDefault="00025890" w:rsidP="00CD0227">
            <w:pPr>
              <w:jc w:val="left"/>
            </w:pPr>
            <w:r>
              <w:t xml:space="preserve">Transición a IPv6 en las entidades públicas</w:t>
            </w:r>
          </w:p>
        </w:tc>
        <w:tc>
          <w:tcPr>
            <w:tcW w:w="2176" w:type="dxa"/>
          </w:tcPr>
          <w:p w14:paraId="38A7A04F" w14:textId="3B0C1EE3" w:rsidR="00025890" w:rsidRPr="00EB5D92" w:rsidRDefault="00025890" w:rsidP="00CD0227">
            <w:pPr>
              <w:jc w:val="left"/>
            </w:pPr>
            <w:r>
              <w:t xml:space="preserve">Aplica (P3.3) [VERIFICAR modificaciones de plazos]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604" w:type="dxa"/>
          </w:tcPr>
          <w:p w14:paraId="38A7A04F" w14:textId="3B0C1EE3" w:rsidR="00025890" w:rsidRPr="00EB5D92" w:rsidRDefault="00025890" w:rsidP="00CD0227">
            <w:pPr>
              <w:jc w:val="left"/>
            </w:pPr>
            <w:r>
              <w:t xml:space="preserve">Orientación de la transformación digital y la conectividad del departamento</w:t>
            </w:r>
          </w:p>
        </w:tc>
        <w:tc>
          <w:tcPr>
            <w:tcW w:w="2176"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CONPES 4144 de 2025</w:t>
            </w:r>
          </w:p>
        </w:tc>
        <w:tc>
          <w:tcPr>
            <w:tcW w:w="4604" w:type="dxa"/>
          </w:tcPr>
          <w:p w14:paraId="38A7A04F" w14:textId="3B0C1EE3" w:rsidR="00025890" w:rsidRPr="00EB5D92" w:rsidRDefault="00025890" w:rsidP="00CD0227">
            <w:pPr>
              <w:jc w:val="left"/>
            </w:pPr>
            <w:r>
              <w:t xml:space="preserve">Política nacional de inteligencia artificial</w:t>
            </w:r>
          </w:p>
        </w:tc>
        <w:tc>
          <w:tcPr>
            <w:tcW w:w="2176"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604"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176"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PETI 2025,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en hoja de cálculo)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pPr>
        <w:pStyle w:val="Ttulo4"/>
      </w:pPr>
      <w:r>
        <w:t xml:space="preserve">Objetivos de TI vigentes</w:t>
      </w:r>
    </w:p>
    <w:p>
      <w:r>
        <w:t xml:space="preserve">Cerca de la mitad de sus párrafos largos repiten el PETI 2025 de Valor+ (análisis del equipo). 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El documento conserva además textos de otras entidades, por ejemplo "el data center del Ministerio" (pág. 73) y "la CRA establece conexiones privadas" (pág. 81)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plan de datos abiertos ni índice de información clasificada y reservada publicado [VERIFICAR en la sección de transparencia] (I2).</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[EVIDENCIA: Valor+ implementó IPv6 para un cliente en 2025 (Informe de gestión 2025, pág. 91); no se encontró el estado en su propia red]</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244"/>
        <w:gridCol w:w="2997"/>
        <w:gridCol w:w="1986"/>
        <w:gridCol w:w="168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24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299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86"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8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49"/>
        <w:gridCol w:w="4396"/>
        <w:gridCol w:w="895"/>
        <w:gridCol w:w="600"/>
        <w:gridCol w:w="1112"/>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49"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39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95"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12"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y recuperación probada</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6" name="Picture 2140727826"/>
            <wp:cNvGraphicFramePr>
              <a:graphicFrameLocks noChangeAspect="1"/>
            </wp:cNvGraphicFramePr>
            <a:graphic>
              <a:graphicData uri="http://schemas.openxmlformats.org/drawingml/2006/picture">
                <pic:pic>
                  <pic:nvPicPr>
                    <pic:cNvPr id="0" name="alineacion_oc_oeti.png"/>
                    <pic:cNvPicPr/>
                  </pic:nvPicPr>
                  <pic:blipFill>
                    <a:blip r:embed="rId79"/>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Servicios de TI: acciones propuestas</w:t>
      </w:r>
    </w:p>
    <w:tbl>
      <w:tblPr>
        <w:tblStyle w:val="Tabladecuadrcula4-nfasis51"/>
        <w:tblW w:w="93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600"/>
        <w:gridCol w:w="2056"/>
        <w:gridCol w:w="3816"/>
        <w:gridCol w:w="2344"/>
        <w:gridCol w:w="626"/>
      </w:tblGrid>
      <w:tr w:rsidR="00B16797" w:rsidRPr="00EB5D92" w14:paraId="0C5982A4" w14:textId="77777777" w:rsidTr="00DB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63D4FFFF" w14:textId="77777777" w:rsidR="00B16797" w:rsidRPr="00EB5D92" w:rsidRDefault="00B16797" w:rsidP="00B16797">
            <w:pPr>
              <w:spacing w:line="240" w:lineRule="auto"/>
              <w:jc w:val="left"/>
              <w:rPr>
                <w:color w:val="FFFFFF" w:themeColor="background1"/>
              </w:rPr>
            </w:pPr>
            <w:r>
              <w:rPr>
                <w:color w:val="FFFFFF" w:themeColor="background1"/>
              </w:rPr>
              <w:t xml:space="preserve">ID</w:t>
            </w:r>
          </w:p>
        </w:tc>
        <w:tc>
          <w:tcPr>
            <w:tcW w:w="2056" w:type="dxa"/>
            <w:tcBorders>
              <w:top w:val="none" w:sz="0" w:space="0" w:color="auto"/>
              <w:left w:val="none" w:sz="0" w:space="0" w:color="auto"/>
              <w:bottom w:val="none" w:sz="0" w:space="0" w:color="auto"/>
              <w:right w:val="none" w:sz="0" w:space="0" w:color="auto"/>
            </w:tcBorders>
            <w:shd w:val="clear" w:color="auto" w:fill="FFFFFF" w:themeFill="background1"/>
          </w:tcPr>
          <w:p w14:paraId="7D6DC083" w14:textId="77777777" w:rsidR="00B16797" w:rsidRPr="00EB5D92" w:rsidRDefault="00B16797" w:rsidP="00B16797">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Servicio</w:t>
            </w:r>
          </w:p>
        </w:tc>
        <w:tc>
          <w:tcPr>
            <w:tcW w:w="3816" w:type="dxa"/>
            <w:tcBorders>
              <w:top w:val="none" w:sz="0" w:space="0" w:color="auto"/>
              <w:left w:val="none" w:sz="0" w:space="0" w:color="auto"/>
              <w:bottom w:val="none" w:sz="0" w:space="0" w:color="auto"/>
              <w:right w:val="none" w:sz="0" w:space="0" w:color="auto"/>
            </w:tcBorders>
            <w:shd w:val="clear" w:color="auto" w:fill="FFFFFF" w:themeFill="background1"/>
          </w:tcPr>
          <w:p w14:paraId="767F4A7D" w14:textId="77777777" w:rsidR="00B16797" w:rsidRPr="00EB5D92" w:rsidRDefault="00B16797" w:rsidP="00B16797">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rPr>
            </w:pPr>
            <w:r>
              <w:t xml:space="preserve">Acción</w:t>
            </w:r>
          </w:p>
        </w:tc>
        <w:tc>
          <w:tcPr>
            <w:tcW w:w="2344" w:type="dxa"/>
            <w:tcBorders>
              <w:top w:val="none" w:sz="0" w:space="0" w:color="auto"/>
              <w:left w:val="none" w:sz="0" w:space="0" w:color="auto"/>
              <w:bottom w:val="none" w:sz="0" w:space="0" w:color="auto"/>
              <w:right w:val="none" w:sz="0" w:space="0" w:color="auto"/>
            </w:tcBorders>
            <w:shd w:val="clear" w:color="auto" w:fill="FFFFFF" w:themeFill="background1"/>
          </w:tcPr>
          <w:p w14:paraId="767F4A7D" w14:textId="77777777" w:rsidR="00B16797" w:rsidRPr="00EB5D92" w:rsidRDefault="00B16797" w:rsidP="00B16797">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rPr>
            </w:pPr>
            <w:r>
              <w:t xml:space="preserve">Nivel de servicio objetivo</w:t>
            </w:r>
          </w:p>
        </w:tc>
        <w:tc>
          <w:tcPr>
            <w:tcW w:w="626" w:type="dxa"/>
            <w:tcBorders>
              <w:top w:val="none" w:sz="0" w:space="0" w:color="auto"/>
              <w:left w:val="none" w:sz="0" w:space="0" w:color="auto"/>
              <w:bottom w:val="none" w:sz="0" w:space="0" w:color="auto"/>
              <w:right w:val="none" w:sz="0" w:space="0" w:color="auto"/>
            </w:tcBorders>
            <w:shd w:val="clear" w:color="auto" w:fill="FFFFFF" w:themeFill="background1"/>
          </w:tcPr>
          <w:p w14:paraId="767F4A7D" w14:textId="77777777" w:rsidR="00B16797" w:rsidRPr="00EB5D92" w:rsidRDefault="00B16797" w:rsidP="00B16797">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rPr>
            </w:pPr>
            <w:r>
              <w:t xml:space="preserve">Proyecto</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ST01</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Mesa de ayuda interna</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herramienta de gestión de servicios con prácticas de ITIL 4</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Oportunidad ≥ 95 %; satisfacción ≥ 85 %</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P1.3, P2.3</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ST02</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Ofimática, correo y colaboración</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todas las licencias en Office 365 y archivos en SharePoint</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Disponibilidad del proveedor; migración del 100 %</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P2.4</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ST03</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Conectividad interna</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Mantener; agregar monitoreo de red</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Disponibilidad ≥ 99 %</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P3.3</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ST04</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Telefonía y contact center</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telefonía en la nube con contingencia</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Disponibilidad ≥ 99 %</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P2.4</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ST05</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Sitio web e intranet</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intranet en la nube; PQRSD conectadas a la mesa de servicios</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ITA ≥ 94</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P2.4, P2.3</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ST06</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Soporte a sistemas de información</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soporte de segundo y tercer nivel con proveedores, medido</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ANS por sistema</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P1.5, P2.3</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ST07</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Seguridad, respaldo y recuperación</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Modificar: SOC propio y recuperación probada</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Incidentes atendidos dentro del ANS ≥ 95 %</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P1.4, P1.6</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ST08</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Datos y analítica institucional</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Crear</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Tablero del PEI actualizado cada mes</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P2.1, P3.2</w:t>
            </w:r>
          </w:p>
        </w:tc>
      </w:tr>
      <w:tr w:rsidR="00B16797" w:rsidRPr="00EB5D92" w14:paraId="626C07E1" w14:textId="77777777" w:rsidTr="00DB1B60">
        <w:tc>
          <w:tcPr>
            <w:cnfStyle w:val="001000000000" w:firstRow="0" w:lastRow="0" w:firstColumn="1" w:lastColumn="0" w:oddVBand="0" w:evenVBand="0" w:oddHBand="0" w:evenHBand="0" w:firstRowFirstColumn="0" w:firstRowLastColumn="0" w:lastRowFirstColumn="0" w:lastRowLastColumn="0"/>
            <w:tcW w:w="600" w:type="dxa"/>
            <w:shd w:val="clear" w:color="auto" w:fill="E8A043"/>
          </w:tcPr>
          <w:p w14:paraId="60F59056" w14:textId="77777777" w:rsidR="00B16797" w:rsidRPr="00EB5D92" w:rsidRDefault="00B16797" w:rsidP="00B16797">
            <w:pPr>
              <w:spacing w:line="240" w:lineRule="auto"/>
              <w:jc w:val="left"/>
              <w:rPr>
                <w:rFonts w:eastAsiaTheme="minorHAnsi"/>
                <w:color w:val="FFFFFF" w:themeColor="background1"/>
                <w:lang w:eastAsia="en-US"/>
              </w:rPr>
            </w:pPr>
            <w:r>
              <w:rPr>
                <w:rFonts w:eastAsiaTheme="minorHAnsi"/>
                <w:color w:val="FFFFFF" w:themeColor="background1"/>
                <w:lang w:eastAsia="en-US"/>
              </w:rPr>
              <w:t xml:space="preserve">SC01 a SC05</w:t>
            </w:r>
          </w:p>
        </w:tc>
        <w:tc>
          <w:tcPr>
            <w:tcW w:w="2056" w:type="dxa"/>
            <w:shd w:val="clear" w:color="auto" w:fill="FFFFFF" w:themeFill="background1"/>
          </w:tcPr>
          <w:p w14:paraId="47AF2D60" w14:textId="77777777" w:rsidR="00B16797" w:rsidRPr="00EB5D92" w:rsidRDefault="00B16797" w:rsidP="00B16797">
            <w:pPr>
              <w:spacing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Servicios vendidos</w:t>
            </w:r>
          </w:p>
        </w:tc>
        <w:tc>
          <w:tcPr>
            <w:tcW w:w="381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Mantener; medir en el mismo catálogo</w:t>
            </w:r>
          </w:p>
        </w:tc>
        <w:tc>
          <w:tcPr>
            <w:tcW w:w="2344"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ANS de cada contrato</w:t>
            </w:r>
          </w:p>
        </w:tc>
        <w:tc>
          <w:tcPr>
            <w:tcW w:w="626" w:type="dxa"/>
            <w:shd w:val="clear" w:color="auto" w:fill="FFFFFF" w:themeFill="background1"/>
          </w:tcPr>
          <w:p w14:paraId="266C9890" w14:textId="77777777" w:rsidR="00B16797" w:rsidRPr="00EB5D92" w:rsidRDefault="00B16797" w:rsidP="00B16797">
            <w:pPr>
              <w:spacing w:line="240" w:lineRule="auto"/>
              <w:jc w:val="center"/>
              <w:cnfStyle w:val="000000000000" w:firstRow="0" w:lastRow="0" w:firstColumn="0" w:lastColumn="0" w:oddVBand="0" w:evenVBand="0" w:oddHBand="0" w:evenHBand="0" w:firstRowFirstColumn="0" w:firstRowLastColumn="0" w:lastRowFirstColumn="0" w:lastRowLastColumn="0"/>
              <w:rPr>
                <w:b/>
                <w:bCs/>
                <w:sz w:val="20"/>
              </w:rPr>
            </w:pPr>
            <w:r>
              <w:rPr>
                <w:b/>
                <w:bCs/>
                <w:sz w:val="20"/>
              </w:rPr>
              <w:t xml:space="preserve">P1.3</w:t>
            </w:r>
          </w:p>
        </w:tc>
      </w:tr>
    </w:tbl>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y se revisan cada mes en el Comité de TI.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240"/>
        <w:gridCol w:w="979"/>
        <w:gridCol w:w="5550"/>
        <w:gridCol w:w="600"/>
      </w:tblGrid>
      <w:tr w:rsidR="00CA69CF" w:rsidRPr="00EB5D92" w14:paraId="03BEF90C" w14:textId="77777777" w:rsidTr="00617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Borders>
              <w:top w:val="none" w:sz="0" w:space="0" w:color="auto"/>
              <w:left w:val="none" w:sz="0" w:space="0" w:color="auto"/>
              <w:bottom w:val="none" w:sz="0" w:space="0" w:color="auto"/>
              <w:right w:val="none" w:sz="0" w:space="0" w:color="auto"/>
            </w:tcBorders>
            <w:shd w:val="clear" w:color="auto" w:fill="E8A043"/>
          </w:tcPr>
          <w:p w14:paraId="0D2BAB94"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979" w:type="dxa"/>
            <w:tcBorders>
              <w:top w:val="none" w:sz="0" w:space="0" w:color="auto"/>
              <w:left w:val="none" w:sz="0" w:space="0" w:color="auto"/>
              <w:bottom w:val="none" w:sz="0" w:space="0" w:color="auto"/>
              <w:right w:val="none" w:sz="0" w:space="0" w:color="auto"/>
            </w:tcBorders>
            <w:shd w:val="clear" w:color="auto" w:fill="FFFFFF" w:themeFill="background1"/>
          </w:tcPr>
          <w:p w14:paraId="5F620B8E" w14:textId="77777777" w:rsidR="00CA69CF" w:rsidRPr="00EB5D92" w:rsidRDefault="00CA69CF" w:rsidP="005426CD">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c>
          <w:tcPr>
            <w:tcW w:w="5550" w:type="dxa"/>
            <w:tcBorders>
              <w:top w:val="none" w:sz="0" w:space="0" w:color="auto"/>
              <w:left w:val="none" w:sz="0" w:space="0" w:color="auto"/>
              <w:bottom w:val="none" w:sz="0" w:space="0" w:color="auto"/>
              <w:right w:val="none" w:sz="0" w:space="0" w:color="auto"/>
            </w:tcBorders>
            <w:shd w:val="clear" w:color="auto" w:fill="FFFFFF" w:themeFill="background1"/>
          </w:tcPr>
          <w:p w14:paraId="4F6228AB" w14:textId="77777777" w:rsidR="00CA69CF" w:rsidRPr="00EB5D92" w:rsidRDefault="00CA69CF" w:rsidP="005426CD">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t xml:space="preserve">Situación objetivo</w:t>
            </w:r>
          </w:p>
        </w:tc>
        <w:tc>
          <w:tcPr>
            <w:tcW w:w="600" w:type="dxa"/>
            <w:tcBorders>
              <w:top w:val="none" w:sz="0" w:space="0" w:color="auto"/>
              <w:left w:val="none" w:sz="0" w:space="0" w:color="auto"/>
              <w:bottom w:val="none" w:sz="0" w:space="0" w:color="auto"/>
              <w:right w:val="none" w:sz="0" w:space="0" w:color="auto"/>
            </w:tcBorders>
            <w:shd w:val="clear" w:color="auto" w:fill="FFFFFF" w:themeFill="background1"/>
          </w:tcPr>
          <w:p w14:paraId="4F6228AB" w14:textId="77777777" w:rsidR="00CA69CF" w:rsidRPr="00EB5D92" w:rsidRDefault="00CA69CF" w:rsidP="005426CD">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t xml:space="preserve">Proyecto</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ERP integrado con presupuesto público, contratos, facturación por proyecto, compras, nómina y activos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P1.5</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Reemplazadas por CRM y gestión de procesos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P2.2, P3.1</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Oportunidades, propuestas, contratos, satisfacción y PQRSD de clientes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P2.2</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Herramienta de gestión de servicios de TI con prácticas de ITIL 4, para la mesa interna y las de clientes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P2.3</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Flujos de los procesos de servicio y contractual; tareas repetitivas automatizadas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P3.1</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API entre ERP, CRM, gestión de servicios, SGDEA y tableros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P3.1</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Evaluarlo frente a los requisitos MoReq; si los cumple, es el SGDEA de Valor+</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P2.5</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Matriz de riesgos institucional y de TI con planes de tratamiento</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P3.1</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Migrada a SharePoint Online</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P2.4</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Telefonía en la nube o actualizada con contingencia</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P2.4</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Conectado a los datos integrados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P3.2</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PQRSD conectadas a la herramienta de gestión de servicios</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P2.3</w:t>
            </w:r>
          </w:p>
        </w:tc>
      </w:tr>
      <w:tr w:rsidR="00CA69CF" w:rsidRPr="00EB5D92" w14:paraId="3E0AC5A0" w14:textId="77777777" w:rsidTr="006177EB">
        <w:tc>
          <w:tcPr>
            <w:cnfStyle w:val="001000000000" w:firstRow="0" w:lastRow="0" w:firstColumn="1" w:lastColumn="0" w:oddVBand="0" w:evenVBand="0" w:oddHBand="0" w:evenHBand="0" w:firstRowFirstColumn="0" w:firstRowLastColumn="0" w:lastRowFirstColumn="0" w:lastRowLastColumn="0"/>
            <w:tcW w:w="2240" w:type="dxa"/>
            <w:shd w:val="clear" w:color="auto" w:fill="E8A043"/>
          </w:tcPr>
          <w:p w14:paraId="5064FB6E" w14:textId="77777777" w:rsidR="00CA69CF" w:rsidRPr="00EB5D92" w:rsidRDefault="00CA69CF" w:rsidP="005426CD">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979" w:type="dxa"/>
            <w:shd w:val="clear" w:color="auto" w:fill="FFFFFF" w:themeFill="background1"/>
          </w:tcPr>
          <w:p w14:paraId="4D0E7C08" w14:textId="77777777" w:rsidR="00CA69CF" w:rsidRPr="00EB5D92" w:rsidRDefault="00CA69CF" w:rsidP="005426CD">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w:t>
            </w:r>
          </w:p>
        </w:tc>
        <w:tc>
          <w:tcPr>
            <w:tcW w:w="555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Plataformas de norma</w:t>
            </w:r>
          </w:p>
        </w:tc>
        <w:tc>
          <w:tcPr>
            <w:tcW w:w="600" w:type="dxa"/>
            <w:shd w:val="clear" w:color="auto" w:fill="FFFFFF" w:themeFill="background1"/>
          </w:tcPr>
          <w:p w14:paraId="3FB92D47" w14:textId="77777777" w:rsidR="00CA69CF" w:rsidRPr="00EB5D92" w:rsidRDefault="00CA69CF" w:rsidP="005426CD">
            <w:pPr>
              <w:spacing w:line="240" w:lineRule="auto"/>
              <w:contextualSpacing/>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7" name="Picture 2140727827"/>
            <wp:cNvGraphicFramePr>
              <a:graphicFrameLocks noChangeAspect="1"/>
            </wp:cNvGraphicFramePr>
            <a:graphic>
              <a:graphicData uri="http://schemas.openxmlformats.org/drawingml/2006/picture">
                <pic:pic>
                  <pic:nvPicPr>
                    <pic:cNvPr id="0" name="arquitectura_objetivo.png"/>
                    <pic:cNvPicPr/>
                  </pic:nvPicPr>
                  <pic:blipFill>
                    <a:blip r:embed="rId80"/>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requisitos, selección o desarrollo, pruebas, paso a producción con control de cambios y retiro. Cada etapa tiene responsables y criterios de aceptación (proyecto P1.2).</w:t>
      </w:r>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r>
        <w:t xml:space="preserve">Los sistemas SaaS se mantienen por contrato con ANS. Los que siguen en software libre (telefonía, mientras se migra) tienen plan de actualización y contingencia (proyecto P2.4). Las licencias de ofimática se unifican en Office 365.</w:t>
      </w:r>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primer nivel en la mesa de servicios interna, segundo nivel con especialistas internos o del proveedor, y tercer nivel con el fabricante, cada uno con ANS medido (proyectos P1.3 y P2.3).</w:t>
      </w:r>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y completar IPv6 en la red de Valor+ (proyecto P3.3).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94"/>
        <w:gridCol w:w="896"/>
        <w:gridCol w:w="600"/>
        <w:gridCol w:w="2915"/>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9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textos de otras entidades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monitoreo de red e IPv6</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 IPv6 sin confirmar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NOC e IPv6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22 brechas, 12 de crear y 10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28" name="Picture 2140727828"/>
            <wp:cNvGraphicFramePr>
              <a:graphicFrameLocks noChangeAspect="1"/>
            </wp:cNvGraphicFramePr>
            <a:graphic>
              <a:graphicData uri="http://schemas.openxmlformats.org/drawingml/2006/picture">
                <pic:pic>
                  <pic:nvPicPr>
                    <pic:cNvPr id="0" name="brechas_dominio.png"/>
                    <pic:cNvPicPr/>
                  </pic:nvPicPr>
                  <pic:blipFill>
                    <a:blip r:embed="rId81"/>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porque el Decreto 612 de 2018 le exige integrar sus planes institucionales al plan de acción. Las iniciativas con componente de TI son 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Plan</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Iniciativa con componente de 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 del PETI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Seguridad y Privacidad de la Información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Operación del MSPI, gestión de incidentes, SOC</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Tratamiento de Riesgos de Seguridad y Privacidad</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Tratamiento de riesgos de seguridad y continuidad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Archivos (PINAR, aprobado hasta 2027)</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 y preservación digital</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Capacitación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en uso de TI y seguridad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Programa de Transparencia y Acceso a la Información (antes Plan Anticorrupción)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Sitio web, publicación de información y datos abiertos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y servicio ST05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Política de Gobierno Digital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Arquitectura (este PETI), seguridad y privacidad (P1.4), datos (P2.1). Los servicios ciudadanos digitales no aplican porque Valor+ no tiene trámites (numeral 5.1.7)</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P2.1</w:t>
            </w:r>
          </w:p>
        </w:tc>
      </w:tr>
    </w:tbl>
    <w:p/>
    <w:p>
      <w:pPr>
        <w:pStyle w:val="Ttulo4"/>
      </w:pPr>
      <w:r>
        <w:t xml:space="preserve">Catálogo de proyectos</w:t>
      </w:r>
    </w:p>
    <w:p>
      <w:r>
        <w:t xml:space="preserve">Los 17 proyectos agrupan las 22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01"/>
        <w:gridCol w:w="1322"/>
        <w:gridCol w:w="600"/>
        <w:gridCol w:w="600"/>
        <w:gridCol w:w="624"/>
        <w:gridCol w:w="778"/>
        <w:gridCol w:w="642"/>
        <w:gridCol w:w="3233"/>
        <w:gridCol w:w="600"/>
        <w:gridCol w:w="1741"/>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1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2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77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4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3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4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monitoreo de red e IPv6</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973"/>
        <w:gridCol w:w="1925"/>
        <w:gridCol w:w="3047"/>
        <w:gridCol w:w="1475"/>
        <w:gridCol w:w="72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973"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192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30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7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2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monitoreo de red e IPv6.</w:t>
      </w:r>
      <w:r>
        <w:t xml:space="preserve"> Plan anual de capacidad, NOC y transición a IPv6 en la red propia.</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29" name="Picture 2140727829"/>
            <wp:cNvGraphicFramePr>
              <a:graphicFrameLocks noChangeAspect="1"/>
            </wp:cNvGraphicFramePr>
            <a:graphic>
              <a:graphicData uri="http://schemas.openxmlformats.org/drawingml/2006/picture">
                <pic:pic>
                  <pic:nvPicPr>
                    <pic:cNvPr id="0" name="presupuesto_vigencias.png"/>
                    <pic:cNvPicPr/>
                  </pic:nvPicPr>
                  <pic:blipFill>
                    <a:blip r:embed="rId82"/>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0" name="Picture 2140727830"/>
            <wp:cNvGraphicFramePr>
              <a:graphicFrameLocks noChangeAspect="1"/>
            </wp:cNvGraphicFramePr>
            <a:graphic>
              <a:graphicData uri="http://schemas.openxmlformats.org/drawingml/2006/picture">
                <pic:pic>
                  <pic:nvPicPr>
                    <pic:cNvPr id="0" name="mapa_ruta.png"/>
                    <pic:cNvPicPr/>
                  </pic:nvPicPr>
                  <pic:blipFill>
                    <a:blip r:embed="rId83"/>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75"/>
        <w:gridCol w:w="1168"/>
        <w:gridCol w:w="1168"/>
        <w:gridCol w:w="1168"/>
        <w:gridCol w:w="11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P3.3 Capacidad, NOC e IPv6</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(2025). </w:t>
      </w:r>
      <w:r>
        <w:rPr>
          <w:i/>
        </w:rPr>
        <w:t xml:space="preserve">Plan Estratégico de Tecnologías de la Información PETI 2025</w:t>
      </w:r>
      <w:r>
        <w:t xml:space="preserve">, versión 3.0.</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92"/>
        <w:gridCol w:w="3832"/>
        <w:gridCol w:w="3792"/>
        <w:gridCol w:w="8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383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79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60"/>
        <w:gridCol w:w="1216"/>
        <w:gridCol w:w="1231"/>
        <w:gridCol w:w="2675"/>
        <w:gridCol w:w="1505"/>
        <w:gridCol w:w="1322"/>
        <w:gridCol w:w="63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21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3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67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50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2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3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