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1.12</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Propuesta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jc w:val="left"/>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jc w:val="left"/>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jc w:val="left"/>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jc w:val="left"/>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jc w:val="left"/>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rPr>
          <w:i w:val="0"/>
          <w:color w:val="E8A043"/>
        </w:rP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E8A043"/>
        </w:rPr>
        <w:t xml:space="preserve">Definición de la instancia de gobierno de TI </w:t>
      </w:r>
    </w:p>
    <w:p>
      <w:r>
        <w:t xml:space="preserve">No se encontró una instancia dedicada a decidir sobre TI. Valor+ tiene estos comités que tocan temas de TI:</w:t>
      </w:r>
    </w:p>
    <w:p>
      <w:pPr>
        <w:pStyle w:val="Prrafodelista"/>
        <w:numPr>
          <w:ilvl w:val="0"/>
          <w:numId w:val="15"/>
        </w:numPr>
      </w:pPr>
      <w:r>
        <w:t xml:space="preserve">el Comité Institucional de Gestión y Desempeño, que por el MIPG orienta las políticas de Gobierno Digital y Seguridad Digital (Decreto 1083 de 2015, modificado por el Decreto 1499 de 2017) y que aprobó el PEI con el Acta 006 de 2024 (Informe de gestión 2025, pág. 13);</w:t>
      </w:r>
    </w:p>
    <w:p>
      <w:pPr>
        <w:pStyle w:val="Prrafodelista"/>
        <w:numPr>
          <w:ilvl w:val="0"/>
          <w:numId w:val="15"/>
        </w:numPr>
      </w:pPr>
      <w:r>
        <w:t xml:space="preserve">el Comité Directivo, del que hace parte el Comité de Compras y Contratación, que sesiona cada semana y revisa las compras según el manual de contratación (PETI 2026-2027 de Valor+, pág. 41);</w:t>
      </w:r>
    </w:p>
    <w:p>
      <w:pPr>
        <w:pStyle w:val="Prrafodelista"/>
        <w:numPr>
          <w:ilvl w:val="0"/>
          <w:numId w:val="15"/>
        </w:numPr>
      </w:pPr>
      <w:r>
        <w:t xml:space="preserve">el Comité de Riesgos, creado en 2025 para la Alta Gerencia (Informe de gestión 2025, pág. 33);</w:t>
      </w:r>
    </w:p>
    <w:p>
      <w:pPr>
        <w:pStyle w:val="Prrafodelista"/>
        <w:numPr>
          <w:ilvl w:val="0"/>
          <w:numId w:val="15"/>
        </w:numPr>
      </w:pPr>
      <w:r>
        <w:t xml:space="preserve">el Comité Primario de TI, interno de la gerencia, con frecuencia semanal "sugerida" (PETI 2026-2027 de Valor+, pág. 41).</w:t>
      </w:r>
    </w:p>
    <w:p>
      <w:r>
        <w:t xml:space="preserve">El tablero mensual de indicadores de TI lo revisa Planeación (pág. 41). El PETI 2026-2027 menciona también un Comité de Seguridad que revisaría los resultados del SGSI (pág. 46), pero no se encontró su acto de creación ni registro de sus sesiones [EVIDENCIA: acta o decisión empresarial del Comité de Seguridad].</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E8A043"/>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E8A043"/>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el término solo aparece en el glosario del PETI 2026-2027 (pág. 10)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 Valor+ sí tiene un Manual de Contratación con seis modalidades: convocatoria pública, convocatoria abreviada, contratación directa, aliado proveedor, aliado estratégico y contratación extraordinaria (Informe de gestión 2025, pág. 53). Sus cuantías no se encontraron publicadas [EVIDENCIA: manual de contratación vigente].</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F04</w:t>
            </w:r>
          </w:p>
        </w:tc>
        <w:tc>
          <w:tcPr>
            <w:tcW w:w="1236" w:type="dxa"/>
          </w:tcPr>
          <w:p w14:paraId="4A0B2205" w14:textId="77777777" w:rsidR="007A578C" w:rsidRPr="00EB5D92" w:rsidRDefault="007A578C" w:rsidP="007A578C">
            <w:pPr>
              <w:jc w:val="left"/>
            </w:pPr>
            <w:r>
              <w:t xml:space="preserve">Contratación y seguridad</w:t>
            </w:r>
          </w:p>
        </w:tc>
        <w:tc>
          <w:tcPr>
            <w:tcW w:w="1115" w:type="dxa"/>
          </w:tcPr>
          <w:p w14:paraId="2824ECB0" w14:textId="77777777" w:rsidR="007A578C" w:rsidRPr="00EB5D92" w:rsidRDefault="007A578C" w:rsidP="007A578C">
            <w:pPr>
              <w:jc w:val="left"/>
            </w:pPr>
            <w:r>
              <w:t xml:space="preserve">Jornadas de Gestión Jurídica</w:t>
            </w:r>
          </w:p>
        </w:tc>
        <w:tc>
          <w:tcPr>
            <w:tcW w:w="1144" w:type="dxa"/>
          </w:tcPr>
          <w:p w14:paraId="2B98F1BB" w14:textId="77777777" w:rsidR="007A578C" w:rsidRPr="00EB5D92" w:rsidRDefault="007A578C" w:rsidP="007A578C">
            <w:pPr>
              <w:jc w:val="left"/>
            </w:pPr>
            <w:r>
              <w:t xml:space="preserve">Supervisión contractual, uso de IA en la actividad contractual y seguridad informática (Informe de gestión 2025, págs. 69-70)</w:t>
            </w:r>
          </w:p>
        </w:tc>
        <w:tc>
          <w:tcPr>
            <w:tcW w:w="1206" w:type="dxa"/>
          </w:tcPr>
          <w:p w14:paraId="257E6BF3" w14:textId="77777777" w:rsidR="007A578C" w:rsidRPr="00EB5D92" w:rsidRDefault="007A578C" w:rsidP="007A578C">
            <w:pPr>
              <w:jc w:val="left"/>
            </w:pPr>
            <w:r>
              <w:t xml:space="preserve">2025</w:t>
            </w:r>
          </w:p>
        </w:tc>
        <w:tc>
          <w:tcPr>
            <w:tcW w:w="2171" w:type="dxa"/>
          </w:tcPr>
          <w:p w14:paraId="7E001B05" w14:textId="77777777" w:rsidR="007A578C" w:rsidRPr="00EB5D92" w:rsidRDefault="007A578C" w:rsidP="007A578C">
            <w:pPr>
              <w:jc w:val="left"/>
            </w:pPr>
            <w:r>
              <w:t xml:space="preserve">Áreas que contratan</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pStyle w:val="Ttulo4"/>
      </w:pPr>
      <w:r>
        <w:rPr>
          <w:i w:val="0"/>
          <w:color w:val="E8A043"/>
        </w:rP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70"/>
        <w:gridCol w:w="3208"/>
        <w:gridCol w:w="1920"/>
        <w:gridCol w:w="1626"/>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70"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20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26"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Ninguna instancia revisa el portafolio de TI (G1); auditoría de TI en 49 % (G6); sin RACI ni cargo de seguridad (G7, G8)</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70"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20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26"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5" name="Picture 2140727825"/>
            <wp:cNvGraphicFramePr>
              <a:graphicFrameLocks noChangeAspect="1"/>
            </wp:cNvGraphicFramePr>
            <a:graphic>
              <a:graphicData uri="http://schemas.openxmlformats.org/drawingml/2006/picture">
                <pic:pic>
                  <pic:nvPicPr>
                    <pic:cNvPr id="0" name="dofa.png"/>
                    <pic:cNvPicPr/>
                  </pic:nvPicPr>
                  <pic:blipFill>
                    <a:blip r:embed="rId78"/>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6" name="Picture 2140727826"/>
            <wp:cNvGraphicFramePr>
              <a:graphicFrameLocks noChangeAspect="1"/>
            </wp:cNvGraphicFramePr>
            <a:graphic>
              <a:graphicData uri="http://schemas.openxmlformats.org/drawingml/2006/picture">
                <pic:pic>
                  <pic:nvPicPr>
                    <pic:cNvPr id="0" name="dofa_cruzada.png"/>
                    <pic:cNvPicPr/>
                  </pic:nvPicPr>
                  <pic:blipFill>
                    <a:blip r:embed="rId79"/>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cruzada: estrategias y proyectos</w:t>
      </w:r>
    </w:p>
    <w:p>
      <w:pPr>
        <w:pStyle w:val="Ttulo4"/>
      </w:pPr>
      <w:r>
        <w:rPr>
          <w:i w:val="0"/>
          <w:color w:val="E8A043"/>
        </w:rP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jc w:val="left"/>
        <w:outlineLvl w:val="0"/>
        <w:rPr>
          <w:color w:val="F39C12"/>
        </w:rPr>
      </w:pPr>
      <w:r w:rsidRPr="0038516A">
        <w:rPr>
          <w:noProof/>
          <w:lang w:eastAsia="es-CO"/>
        </w:rPr>
        <w:lastRenderedPageBreak/>
        <w:drawing>
          <wp:anchor distT="0" distB="0" distL="0" distR="0" simplePos="0" relativeHeight="251681922" behindDoc="1" locked="0" layoutInCell="1" hidden="0" allowOverlap="1" wp14:anchorId="4273BD63" wp14:editId="6D3546E5">
            <wp:simplePos x="0" y="0"/>
            <wp:positionH relativeFrom="page">
              <wp:align>left</wp:align>
            </wp:positionH>
            <wp:positionV relativeFrom="paragraph">
              <wp:posOffset>-1377315</wp:posOffset>
            </wp:positionV>
            <wp:extent cx="2480310" cy="10114280"/>
            <wp:effectExtent l="0" t="0" r="0" b="1270"/>
            <wp:wrapNone/>
            <wp:docPr id="1368922234" name="Imagen 1368922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0898" behindDoc="1" locked="0" layoutInCell="1" hidden="0" allowOverlap="1" wp14:anchorId="2FEDA76B" wp14:editId="4B3C80D2">
                <wp:simplePos x="0" y="0"/>
                <wp:positionH relativeFrom="column">
                  <wp:posOffset>-1130299</wp:posOffset>
                </wp:positionH>
                <wp:positionV relativeFrom="paragraph">
                  <wp:posOffset>-368299</wp:posOffset>
                </wp:positionV>
                <wp:extent cx="2291715" cy="2143760"/>
                <wp:effectExtent l="0" t="0" r="0" b="0"/>
                <wp:wrapNone/>
                <wp:docPr id="1051123861" name="Elipse 105112386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7402B0B"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FEDA76B" id="Elipse 1051123861" o:spid="_x0000_s1041" style="position:absolute;left:0;text-align:left;margin-left:-89pt;margin-top:-29pt;width:180.45pt;height:168.8pt;z-index:-25163558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Wt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qOL0GpMezk4ApbvJRp4YeAPzGFUMkpGjE9N4ceJOUGJ+qzx+3zMynyJ&#10;ebsv3H3R3BdM895gKrl3lMzFzseUzmqfTt50Ms7oJuYqG4MRbV5DHJJ3X0fU7Vfb/gQ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9iJlr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17402B0B" w14:textId="77777777" w:rsidR="00552A9B" w:rsidRDefault="00552A9B" w:rsidP="00552A9B">
                      <w:pPr>
                        <w:jc w:val="left"/>
                        <w:textDirection w:val="btLr"/>
                      </w:pPr>
                    </w:p>
                  </w:txbxContent>
                </v:textbox>
              </v:oval>
            </w:pict>
          </mc:Fallback>
        </mc:AlternateContent>
      </w:r>
      <w:r w:rsidR="001D037C">
        <w:t xml:space="preserve">7. </w:t>
      </w:r>
      <w:r>
        <w:t xml:space="preserve">Situación deseada u objetivo</w:t>
      </w:r>
      <w:proofErr w:type="spellStart"/>
      <w:r>
        <w:t/>
      </w:r>
      <w:proofErr w:type="spellEnd"/>
      <w:r>
        <w:t xml:space="preserve"/>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(atiende G1; proyecto P1.1): no es un comité nuevo, sino una sesión mensual del Comité Directivo dedicada a TI y seguridad, igual que el Comité de Compras ya hace parte de él. Así lo sugiere la plantilla del MinTIC ("que haga parte del Comité Directivo de la entidad") y se evita crear otro comité, porque el Decreto 1499 de 2017 (art. 2.2.22.3.8) hace que el Comité Institucional sustituya los comités relacionados con el MIPG que no son obligatorios por ley. Esta sesión cumple también la función del Comité de Seguridad que menciona el PETI 2026-2027.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rPr>
          <w:i w:val="0"/>
          <w:color w:val="E8A043"/>
        </w:rP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E8A043"/>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rPr>
          <w:i w:val="0"/>
          <w:color w:val="E8A043"/>
        </w:rP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rPr>
          <w:i w:val="0"/>
          <w:color w:val="E8A043"/>
        </w:rP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jc w:val="left"/>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rPr>
          <w:i w:val="0"/>
          <w:color w:val="E8A043"/>
        </w:rP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1"/>
        <w:gridCol w:w="888"/>
        <w:gridCol w:w="600"/>
        <w:gridCol w:w="2952"/>
        <w:gridCol w:w="2271"/>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8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5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7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ningún comité revisa el portafolio de TI completo; el escalamiento no define montos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Sesión mensual de TI del Comité Directivo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8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7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Brechas por dominio y acción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526"/>
        <w:gridCol w:w="1607"/>
        <w:gridCol w:w="1607"/>
        <w:gridCol w:w="160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6"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Dominio</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Crear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Modificar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Total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Gobierno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4</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Estrategia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Sistemas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3</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Gestión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Infraestructura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Uso y apropiación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23</w:t>
            </w:r>
          </w:p>
        </w:tc>
      </w:tr>
    </w:tbl>
    <w:p/>
    <w:p>
      <w:pPr>
        <w:pStyle w:val="Ttulo4"/>
      </w:pPr>
      <w:r>
        <w:rPr>
          <w:i w:val="0"/>
          <w:color w:val="E8A043"/>
        </w:rP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rPr>
          <w:i w:val="0"/>
          <w:color w:val="E8A043"/>
        </w:rP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rPr>
          <w:i w:val="0"/>
          <w:color w:val="E8A043"/>
        </w:rP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rPr>
          <w:i w:val="0"/>
          <w:color w:val="E8A043"/>
        </w:rP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rPr>
          <w:i w:val="0"/>
          <w:color w:val="E8A043"/>
        </w:rP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rPr>
          <w:i w:val="0"/>
          <w:color w:val="E8A043"/>
        </w:rP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29" name="Picture 2140727829"/>
            <wp:cNvGraphicFramePr>
              <a:graphicFrameLocks noChangeAspect="1"/>
            </wp:cNvGraphicFramePr>
            <a:graphic>
              <a:graphicData uri="http://schemas.openxmlformats.org/drawingml/2006/picture">
                <pic:pic>
                  <pic:nvPicPr>
                    <pic:cNvPr id="0" name="presupuesto_vigencias.png"/>
                    <pic:cNvPicPr/>
                  </pic:nvPicPr>
                  <pic:blipFill>
                    <a:blip r:embed="rId82"/>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rPr>
          <w:i w:val="0"/>
          <w:color w:val="E8A043"/>
        </w:rPr>
        <w:t xml:space="preserve">Mapa de ruta</w:t>
      </w:r>
    </w:p>
    <w:p>
      <w:pPr>
        <w:jc w:val="center"/>
      </w:pPr>
      <w:r>
        <w:drawing>
          <wp:inline xmlns:a="http://schemas.openxmlformats.org/drawingml/2006/main" xmlns:pic="http://schemas.openxmlformats.org/drawingml/2006/picture">
            <wp:extent cx="5760000" cy="3154930"/>
            <wp:docPr id="2140727830" name="Picture 2140727830"/>
            <wp:cNvGraphicFramePr>
              <a:graphicFrameLocks noChangeAspect="1"/>
            </wp:cNvGraphicFramePr>
            <a:graphic>
              <a:graphicData uri="http://schemas.openxmlformats.org/drawingml/2006/picture">
                <pic:pic>
                  <pic:nvPicPr>
                    <pic:cNvPr id="0" name="mapa_ruta.png"/>
                    <pic:cNvPicPr/>
                  </pic:nvPicPr>
                  <pic:blipFill>
                    <a:blip r:embed="rId83"/>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rPr>
          <w:i w:val="0"/>
          <w:color w:val="E8A043"/>
        </w:rP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jc w:val="left"/>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rPr>
          <w:i w:val="0"/>
          <w:color w:val="E8A043"/>
        </w:rP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rPr>
          <w:i w:val="0"/>
          <w:color w:val="E8A043"/>
        </w:rP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rPr>
          <w:i w:val="0"/>
          <w:color w:val="E8A043"/>
        </w:rP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rPr>
          <w:i w:val="0"/>
          <w:color w:val="E8A043"/>
        </w:rP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rPr>
          <w:i w:val="0"/>
          <w:color w:val="E8A043"/>
        </w:rP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93</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val="0"/>
      <w:iCs/>
      <w:color w:val="E8A04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Gerencia de Tecnología, Innovación y Sostenibilidad</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