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1.4</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25"/>
        <w:gridCol w:w="4521"/>
        <w:gridCol w:w="2303"/>
      </w:tblGrid>
      <w:tr w:rsidR="003104D7" w:rsidRPr="00EB5D92" w14:paraId="6C749D85" w14:textId="77777777" w:rsidTr="00307AFF">
        <w:trPr>
          <w:trHeight w:val="580"/>
        </w:trPr>
        <w:tc>
          <w:tcPr>
            <w:tcW w:w="2725"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52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303"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489 de 1998, arts. 39 y 97</w:t>
            </w:r>
          </w:p>
        </w:tc>
        <w:tc>
          <w:tcPr>
            <w:tcW w:w="4521"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303"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1258 de 2008</w:t>
            </w:r>
          </w:p>
        </w:tc>
        <w:tc>
          <w:tcPr>
            <w:tcW w:w="4521" w:type="dxa"/>
          </w:tcPr>
          <w:p w14:paraId="38A7A04F" w14:textId="3B0C1EE3" w:rsidR="00025890" w:rsidRPr="00EB5D92" w:rsidRDefault="00025890" w:rsidP="00CD0227">
            <w:pPr>
              <w:jc w:val="left"/>
            </w:pPr>
            <w:r>
              <w:t xml:space="preserve">Régimen de la sociedad por acciones simplificada</w:t>
            </w:r>
          </w:p>
        </w:tc>
        <w:tc>
          <w:tcPr>
            <w:tcW w:w="2303"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521"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303"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612 de 2018</w:t>
            </w:r>
          </w:p>
        </w:tc>
        <w:tc>
          <w:tcPr>
            <w:tcW w:w="4521"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303"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521" w:type="dxa"/>
          </w:tcPr>
          <w:p w14:paraId="38A7A04F" w14:textId="3B0C1EE3" w:rsidR="00025890" w:rsidRPr="00EB5D92" w:rsidRDefault="00025890" w:rsidP="00CD0227">
            <w:pPr>
              <w:jc w:val="left"/>
            </w:pPr>
            <w:r>
              <w:t xml:space="preserve">Arquitectura de TI, seguridad y privacidad, datos y servicios digitales</w:t>
            </w:r>
          </w:p>
        </w:tc>
        <w:tc>
          <w:tcPr>
            <w:tcW w:w="2303"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500 de 2021 del MinTIC (MSPI)</w:t>
            </w:r>
          </w:p>
        </w:tc>
        <w:tc>
          <w:tcPr>
            <w:tcW w:w="4521" w:type="dxa"/>
          </w:tcPr>
          <w:p w14:paraId="38A7A04F" w14:textId="3B0C1EE3" w:rsidR="00025890" w:rsidRPr="00EB5D92" w:rsidRDefault="00025890" w:rsidP="00CD0227">
            <w:pPr>
              <w:jc w:val="left"/>
            </w:pPr>
            <w:r>
              <w:t xml:space="preserve">Modelo de Seguridad y Privacidad de la Información</w:t>
            </w:r>
          </w:p>
        </w:tc>
        <w:tc>
          <w:tcPr>
            <w:tcW w:w="2303"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338 de 2022 y CONPES 3995 de 2020</w:t>
            </w:r>
          </w:p>
        </w:tc>
        <w:tc>
          <w:tcPr>
            <w:tcW w:w="4521" w:type="dxa"/>
          </w:tcPr>
          <w:p w14:paraId="38A7A04F" w14:textId="3B0C1EE3" w:rsidR="00025890" w:rsidRPr="00EB5D92" w:rsidRDefault="00025890" w:rsidP="00CD0227">
            <w:pPr>
              <w:jc w:val="left"/>
            </w:pPr>
            <w:r>
              <w:t xml:space="preserve">Gobernanza de la seguridad digital y reporte de incidentes</w:t>
            </w:r>
          </w:p>
        </w:tc>
        <w:tc>
          <w:tcPr>
            <w:tcW w:w="2303"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521"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303"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2195 de 2022 y Ley 1474 de 2011</w:t>
            </w:r>
          </w:p>
        </w:tc>
        <w:tc>
          <w:tcPr>
            <w:tcW w:w="4521" w:type="dxa"/>
          </w:tcPr>
          <w:p w14:paraId="38A7A04F" w14:textId="3B0C1EE3" w:rsidR="00025890" w:rsidRPr="00EB5D92" w:rsidRDefault="00025890" w:rsidP="00CD0227">
            <w:pPr>
              <w:jc w:val="left"/>
            </w:pPr>
            <w:r>
              <w:t xml:space="preserve">Programa de Transparencia y Ética Pública, antes Plan Anticorrupción</w:t>
            </w:r>
          </w:p>
        </w:tc>
        <w:tc>
          <w:tcPr>
            <w:tcW w:w="2303"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1581 de 2012</w:t>
            </w:r>
          </w:p>
        </w:tc>
        <w:tc>
          <w:tcPr>
            <w:tcW w:w="4521" w:type="dxa"/>
          </w:tcPr>
          <w:p w14:paraId="38A7A04F" w14:textId="3B0C1EE3" w:rsidR="00025890" w:rsidRPr="00EB5D92" w:rsidRDefault="00025890" w:rsidP="00CD0227">
            <w:pPr>
              <w:jc w:val="left"/>
            </w:pPr>
            <w:r>
              <w:t xml:space="preserve">Protección de datos personales de clientes, ciudadanos y colaboradores</w:t>
            </w:r>
          </w:p>
        </w:tc>
        <w:tc>
          <w:tcPr>
            <w:tcW w:w="2303"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521" w:type="dxa"/>
          </w:tcPr>
          <w:p w14:paraId="38A7A04F" w14:textId="3B0C1EE3" w:rsidR="00025890" w:rsidRPr="00EB5D92" w:rsidRDefault="00025890" w:rsidP="00CD0227">
            <w:pPr>
              <w:jc w:val="left"/>
            </w:pPr>
            <w:r>
              <w:t xml:space="preserve">Gestión documental, documento electrónico y preservación digital</w:t>
            </w:r>
          </w:p>
        </w:tc>
        <w:tc>
          <w:tcPr>
            <w:tcW w:w="2303"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1755 de 2015</w:t>
            </w:r>
          </w:p>
        </w:tc>
        <w:tc>
          <w:tcPr>
            <w:tcW w:w="4521" w:type="dxa"/>
          </w:tcPr>
          <w:p w14:paraId="38A7A04F" w14:textId="3B0C1EE3" w:rsidR="00025890" w:rsidRPr="00EB5D92" w:rsidRDefault="00025890" w:rsidP="00CD0227">
            <w:pPr>
              <w:jc w:val="left"/>
            </w:pPr>
            <w:r>
              <w:t xml:space="preserve">Términos de respuesta de las peticiones (PQRSD)</w:t>
            </w:r>
          </w:p>
        </w:tc>
        <w:tc>
          <w:tcPr>
            <w:tcW w:w="2303"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87 de 1993</w:t>
            </w:r>
          </w:p>
        </w:tc>
        <w:tc>
          <w:tcPr>
            <w:tcW w:w="4521" w:type="dxa"/>
          </w:tcPr>
          <w:p w14:paraId="38A7A04F" w14:textId="3B0C1EE3" w:rsidR="00025890" w:rsidRPr="00EB5D92" w:rsidRDefault="00025890" w:rsidP="00CD0227">
            <w:pPr>
              <w:jc w:val="left"/>
            </w:pPr>
            <w:r>
              <w:t xml:space="preserve">Sistema de control interno y tercera línea de defensa</w:t>
            </w:r>
          </w:p>
        </w:tc>
        <w:tc>
          <w:tcPr>
            <w:tcW w:w="2303"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1150 de 2007, art. 14</w:t>
            </w:r>
          </w:p>
        </w:tc>
        <w:tc>
          <w:tcPr>
            <w:tcW w:w="4521"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303"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521"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303"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521" w:type="dxa"/>
          </w:tcPr>
          <w:p w14:paraId="38A7A04F" w14:textId="3B0C1EE3" w:rsidR="00025890" w:rsidRPr="00EB5D92" w:rsidRDefault="00025890" w:rsidP="00CD0227">
            <w:pPr>
              <w:jc w:val="left"/>
            </w:pPr>
            <w:r>
              <w:t xml:space="preserve">Orientación de la transformación digital y la conectividad del departamento</w:t>
            </w:r>
          </w:p>
        </w:tc>
        <w:tc>
          <w:tcPr>
            <w:tcW w:w="2303"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CONPES 4144 de 2025</w:t>
            </w:r>
          </w:p>
        </w:tc>
        <w:tc>
          <w:tcPr>
            <w:tcW w:w="4521" w:type="dxa"/>
          </w:tcPr>
          <w:p w14:paraId="38A7A04F" w14:textId="3B0C1EE3" w:rsidR="00025890" w:rsidRPr="00EB5D92" w:rsidRDefault="00025890" w:rsidP="00CD0227">
            <w:pPr>
              <w:jc w:val="left"/>
            </w:pPr>
            <w:r>
              <w:t xml:space="preserve">Política nacional de inteligencia artificial</w:t>
            </w:r>
          </w:p>
        </w:tc>
        <w:tc>
          <w:tcPr>
            <w:tcW w:w="2303"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521"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303"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6" name="Picture 2140727826"/>
            <wp:cNvGraphicFramePr>
              <a:graphicFrameLocks noChangeAspect="1"/>
            </wp:cNvGraphicFramePr>
            <a:graphic>
              <a:graphicData uri="http://schemas.openxmlformats.org/drawingml/2006/picture">
                <pic:pic>
                  <pic:nvPicPr>
                    <pic:cNvPr id="0" name="dofa.png"/>
                    <pic:cNvPicPr/>
                  </pic:nvPicPr>
                  <pic:blipFill>
                    <a:blip r:embed="rId79"/>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7" name="Picture 2140727827"/>
            <wp:cNvGraphicFramePr>
              <a:graphicFrameLocks noChangeAspect="1"/>
            </wp:cNvGraphicFramePr>
            <a:graphic>
              <a:graphicData uri="http://schemas.openxmlformats.org/drawingml/2006/picture">
                <pic:pic>
                  <pic:nvPicPr>
                    <pic:cNvPr id="0" name="dofa_cruzada.png"/>
                    <pic:cNvPicPr/>
                  </pic:nvPicPr>
                  <pic:blipFill>
                    <a:blip r:embed="rId80"/>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8" name="Picture 2140727828"/>
            <wp:cNvGraphicFramePr>
              <a:graphicFrameLocks noChangeAspect="1"/>
            </wp:cNvGraphicFramePr>
            <a:graphic>
              <a:graphicData uri="http://schemas.openxmlformats.org/drawingml/2006/picture">
                <pic:pic>
                  <pic:nvPicPr>
                    <pic:cNvPr id="0" name="alineacion_oc_oeti.png"/>
                    <pic:cNvPicPr/>
                  </pic:nvPicPr>
                  <pic:blipFill>
                    <a:blip r:embed="rId81"/>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9" name="Picture 2140727829"/>
            <wp:cNvGraphicFramePr>
              <a:graphicFrameLocks noChangeAspect="1"/>
            </wp:cNvGraphicFramePr>
            <a:graphic>
              <a:graphicData uri="http://schemas.openxmlformats.org/drawingml/2006/picture">
                <pic:pic>
                  <pic:nvPicPr>
                    <pic:cNvPr id="0" name="organigrama_ti_objetivo.png"/>
                    <pic:cNvPicPr/>
                  </pic:nvPicPr>
                  <pic:blipFill>
                    <a:blip r:embed="rId82"/>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30" name="Picture 2140727830"/>
            <wp:cNvGraphicFramePr>
              <a:graphicFrameLocks noChangeAspect="1"/>
            </wp:cNvGraphicFramePr>
            <a:graphic>
              <a:graphicData uri="http://schemas.openxmlformats.org/drawingml/2006/picture">
                <pic:pic>
                  <pic:nvPicPr>
                    <pic:cNvPr id="0" name="arquitectura_objetivo.png"/>
                    <pic:cNvPicPr/>
                  </pic:nvPicPr>
                  <pic:blipFill>
                    <a:blip r:embed="rId83"/>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31" name="Picture 2140727831"/>
            <wp:cNvGraphicFramePr>
              <a:graphicFrameLocks noChangeAspect="1"/>
            </wp:cNvGraphicFramePr>
            <a:graphic>
              <a:graphicData uri="http://schemas.openxmlformats.org/drawingml/2006/picture">
                <pic:pic>
                  <pic:nvPicPr>
                    <pic:cNvPr id="0" name="brechas_dominio.png"/>
                    <pic:cNvPicPr/>
                  </pic:nvPicPr>
                  <pic:blipFill>
                    <a:blip r:embed="rId84"/>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porque el Decreto 612 de 2018 le exige integrar sus planes institucionales al plan de acción. Las iniciativas con componente de TI son 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Plan</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Iniciativa con componente de 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 del PETI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Seguridad y Privacidad de la Información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Operación del MSPI, gestión de incidentes, SOC</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Tratamiento de Riesgos de Seguridad y Privacidad</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Tratamiento de riesgos de seguridad y continuidad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Archivos (PINAR, aprobado hasta 2027)</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 y preservación digital</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Capacitación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en uso de TI y seguridad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Programa de Transparencia y Acceso a la Información (antes Plan Anticorrupción)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Sitio web, publicación de información y datos abiertos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y servicio ST05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Política de Gobierno Digital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Arquitectura (este PETI), seguridad y privacidad (P1.4), datos (P2.1). Los servicios ciudadanos digitales no aplican porque Valor+ no tiene trámites (numeral 5.1.7)</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P2.1</w:t>
            </w:r>
          </w:p>
        </w:tc>
      </w:tr>
    </w:tbl>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2" name="Picture 2140727832"/>
            <wp:cNvGraphicFramePr>
              <a:graphicFrameLocks noChangeAspect="1"/>
            </wp:cNvGraphicFramePr>
            <a:graphic>
              <a:graphicData uri="http://schemas.openxmlformats.org/drawingml/2006/picture">
                <pic:pic>
                  <pic:nvPicPr>
                    <pic:cNvPr id="0" name="presupuesto_vigencias.png"/>
                    <pic:cNvPicPr/>
                  </pic:nvPicPr>
                  <pic:blipFill>
                    <a:blip r:embed="rId85"/>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13</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3" name="Picture 2140727833"/>
            <wp:cNvGraphicFramePr>
              <a:graphicFrameLocks noChangeAspect="1"/>
            </wp:cNvGraphicFramePr>
            <a:graphic>
              <a:graphicData uri="http://schemas.openxmlformats.org/drawingml/2006/picture">
                <pic:pic>
                  <pic:nvPicPr>
                    <pic:cNvPr id="0" name="mapa_ruta.png"/>
                    <pic:cNvPicPr/>
                  </pic:nvPicPr>
                  <pic:blipFill>
                    <a:blip r:embed="rId86"/>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14</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