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1.6</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628"/>
        <w:gridCol w:w="4430"/>
        <w:gridCol w:w="2491"/>
      </w:tblGrid>
      <w:tr w:rsidR="003104D7" w:rsidRPr="00EB5D92" w14:paraId="6C749D85" w14:textId="77777777" w:rsidTr="00307AFF">
        <w:trPr>
          <w:trHeight w:val="580"/>
        </w:trPr>
        <w:tc>
          <w:tcPr>
            <w:tcW w:w="2628"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430"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49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489 de 1998, arts. 39 y 97</w:t>
            </w:r>
          </w:p>
        </w:tc>
        <w:tc>
          <w:tcPr>
            <w:tcW w:w="4430"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491"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1258 de 2008</w:t>
            </w:r>
          </w:p>
        </w:tc>
        <w:tc>
          <w:tcPr>
            <w:tcW w:w="4430" w:type="dxa"/>
          </w:tcPr>
          <w:p w14:paraId="38A7A04F" w14:textId="3B0C1EE3" w:rsidR="00025890" w:rsidRPr="00EB5D92" w:rsidRDefault="00025890" w:rsidP="00CD0227">
            <w:pPr>
              <w:jc w:val="left"/>
            </w:pPr>
            <w:r>
              <w:t xml:space="preserve">Régimen de la sociedad por acciones simplificada</w:t>
            </w:r>
          </w:p>
        </w:tc>
        <w:tc>
          <w:tcPr>
            <w:tcW w:w="2491"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430"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491"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415 de 2016 (adiciona el Decreto 1083 de 2015)</w:t>
            </w:r>
          </w:p>
        </w:tc>
        <w:tc>
          <w:tcPr>
            <w:tcW w:w="4430" w:type="dxa"/>
          </w:tcPr>
          <w:p w14:paraId="38A7A04F" w14:textId="3B0C1EE3" w:rsidR="00025890" w:rsidRPr="00EB5D92" w:rsidRDefault="00025890" w:rsidP="00CD0227">
            <w:pPr>
              <w:jc w:val="left"/>
            </w:pPr>
            <w:r>
              <w:t xml:space="preserve">Que el líder de TI esté en el nivel directivo y dependa del representante legal, para el fortalecimiento institucional en TI</w:t>
            </w:r>
          </w:p>
        </w:tc>
        <w:tc>
          <w:tcPr>
            <w:tcW w:w="2491" w:type="dxa"/>
          </w:tcPr>
          <w:p w14:paraId="38A7A04F" w14:textId="3B0C1EE3" w:rsidR="00025890" w:rsidRPr="00EB5D92" w:rsidRDefault="00025890" w:rsidP="00CD0227">
            <w:pPr>
              <w:jc w:val="left"/>
            </w:pPr>
            <w:r>
              <w:t xml:space="preserve">Aplica y se cumple: la Gerencia de Tecnología, Innovación y Sostenibilidad depende de la Gerencia General (numeral 5.3)</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612 de 2018</w:t>
            </w:r>
          </w:p>
        </w:tc>
        <w:tc>
          <w:tcPr>
            <w:tcW w:w="4430"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491"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430" w:type="dxa"/>
          </w:tcPr>
          <w:p w14:paraId="38A7A04F" w14:textId="3B0C1EE3" w:rsidR="00025890" w:rsidRPr="00EB5D92" w:rsidRDefault="00025890" w:rsidP="00CD0227">
            <w:pPr>
              <w:jc w:val="left"/>
            </w:pPr>
            <w:r>
              <w:t xml:space="preserve">Arquitectura de TI, seguridad y privacidad, datos y servicios digitales</w:t>
            </w:r>
          </w:p>
        </w:tc>
        <w:tc>
          <w:tcPr>
            <w:tcW w:w="2491"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620 de 2020 (servicios ciudadanos digitales)</w:t>
            </w:r>
          </w:p>
        </w:tc>
        <w:tc>
          <w:tcPr>
            <w:tcW w:w="4430" w:type="dxa"/>
          </w:tcPr>
          <w:p w14:paraId="38A7A04F" w14:textId="3B0C1EE3" w:rsidR="00025890" w:rsidRPr="00EB5D92" w:rsidRDefault="00025890" w:rsidP="00CD0227">
            <w:pPr>
              <w:jc w:val="left"/>
            </w:pPr>
            <w:r>
              <w:t xml:space="preserve">Autenticación digital, interoperabilidad y carpeta ciudadana para los trámites</w:t>
            </w:r>
          </w:p>
        </w:tc>
        <w:tc>
          <w:tcPr>
            <w:tcW w:w="2491" w:type="dxa"/>
          </w:tcPr>
          <w:p w14:paraId="38A7A04F" w14:textId="3B0C1EE3" w:rsidR="00025890" w:rsidRPr="00EB5D92" w:rsidRDefault="00025890" w:rsidP="00CD0227">
            <w:pPr>
              <w:jc w:val="left"/>
            </w:pPr>
            <w:r>
              <w:t xml:space="preserve">No aplica: Valor+ no tiene trámites para la ciudadanía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500 de 2021 del MinTIC (MSPI)</w:t>
            </w:r>
          </w:p>
        </w:tc>
        <w:tc>
          <w:tcPr>
            <w:tcW w:w="4430" w:type="dxa"/>
          </w:tcPr>
          <w:p w14:paraId="38A7A04F" w14:textId="3B0C1EE3" w:rsidR="00025890" w:rsidRPr="00EB5D92" w:rsidRDefault="00025890" w:rsidP="00CD0227">
            <w:pPr>
              <w:jc w:val="left"/>
            </w:pPr>
            <w:r>
              <w:t xml:space="preserve">Modelo de Seguridad y Privacidad de la Información</w:t>
            </w:r>
          </w:p>
        </w:tc>
        <w:tc>
          <w:tcPr>
            <w:tcW w:w="2491"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338 de 2022 y CONPES 3995 de 2020</w:t>
            </w:r>
          </w:p>
        </w:tc>
        <w:tc>
          <w:tcPr>
            <w:tcW w:w="4430" w:type="dxa"/>
          </w:tcPr>
          <w:p w14:paraId="38A7A04F" w14:textId="3B0C1EE3" w:rsidR="00025890" w:rsidRPr="00EB5D92" w:rsidRDefault="00025890" w:rsidP="00CD0227">
            <w:pPr>
              <w:jc w:val="left"/>
            </w:pPr>
            <w:r>
              <w:t xml:space="preserve">Gobernanza de la seguridad digital y reporte de incidentes</w:t>
            </w:r>
          </w:p>
        </w:tc>
        <w:tc>
          <w:tcPr>
            <w:tcW w:w="2491"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430"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491"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2195 de 2022 y Ley 1474 de 2011</w:t>
            </w:r>
          </w:p>
        </w:tc>
        <w:tc>
          <w:tcPr>
            <w:tcW w:w="4430" w:type="dxa"/>
          </w:tcPr>
          <w:p w14:paraId="38A7A04F" w14:textId="3B0C1EE3" w:rsidR="00025890" w:rsidRPr="00EB5D92" w:rsidRDefault="00025890" w:rsidP="00CD0227">
            <w:pPr>
              <w:jc w:val="left"/>
            </w:pPr>
            <w:r>
              <w:t xml:space="preserve">Programa de Transparencia y Ética Pública, antes Plan Anticorrupción</w:t>
            </w:r>
          </w:p>
        </w:tc>
        <w:tc>
          <w:tcPr>
            <w:tcW w:w="2491"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1581 de 2012</w:t>
            </w:r>
          </w:p>
        </w:tc>
        <w:tc>
          <w:tcPr>
            <w:tcW w:w="4430" w:type="dxa"/>
          </w:tcPr>
          <w:p w14:paraId="38A7A04F" w14:textId="3B0C1EE3" w:rsidR="00025890" w:rsidRPr="00EB5D92" w:rsidRDefault="00025890" w:rsidP="00CD0227">
            <w:pPr>
              <w:jc w:val="left"/>
            </w:pPr>
            <w:r>
              <w:t xml:space="preserve">Protección de datos personales de clientes, ciudadanos y colaboradores</w:t>
            </w:r>
          </w:p>
        </w:tc>
        <w:tc>
          <w:tcPr>
            <w:tcW w:w="2491"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430" w:type="dxa"/>
          </w:tcPr>
          <w:p w14:paraId="38A7A04F" w14:textId="3B0C1EE3" w:rsidR="00025890" w:rsidRPr="00EB5D92" w:rsidRDefault="00025890" w:rsidP="00CD0227">
            <w:pPr>
              <w:jc w:val="left"/>
            </w:pPr>
            <w:r>
              <w:t xml:space="preserve">Gestión documental, documento electrónico y preservación digital</w:t>
            </w:r>
          </w:p>
        </w:tc>
        <w:tc>
          <w:tcPr>
            <w:tcW w:w="2491"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1755 de 2015</w:t>
            </w:r>
          </w:p>
        </w:tc>
        <w:tc>
          <w:tcPr>
            <w:tcW w:w="4430" w:type="dxa"/>
          </w:tcPr>
          <w:p w14:paraId="38A7A04F" w14:textId="3B0C1EE3" w:rsidR="00025890" w:rsidRPr="00EB5D92" w:rsidRDefault="00025890" w:rsidP="00CD0227">
            <w:pPr>
              <w:jc w:val="left"/>
            </w:pPr>
            <w:r>
              <w:t xml:space="preserve">Términos de respuesta de las peticiones (PQRSD)</w:t>
            </w:r>
          </w:p>
        </w:tc>
        <w:tc>
          <w:tcPr>
            <w:tcW w:w="2491"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87 de 1993</w:t>
            </w:r>
          </w:p>
        </w:tc>
        <w:tc>
          <w:tcPr>
            <w:tcW w:w="4430" w:type="dxa"/>
          </w:tcPr>
          <w:p w14:paraId="38A7A04F" w14:textId="3B0C1EE3" w:rsidR="00025890" w:rsidRPr="00EB5D92" w:rsidRDefault="00025890" w:rsidP="00CD0227">
            <w:pPr>
              <w:jc w:val="left"/>
            </w:pPr>
            <w:r>
              <w:t xml:space="preserve">Sistema de control interno y tercera línea de defensa</w:t>
            </w:r>
          </w:p>
        </w:tc>
        <w:tc>
          <w:tcPr>
            <w:tcW w:w="2491"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1150 de 2007, art. 14</w:t>
            </w:r>
          </w:p>
        </w:tc>
        <w:tc>
          <w:tcPr>
            <w:tcW w:w="4430"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491"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430"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491"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430" w:type="dxa"/>
          </w:tcPr>
          <w:p w14:paraId="38A7A04F" w14:textId="3B0C1EE3" w:rsidR="00025890" w:rsidRPr="00EB5D92" w:rsidRDefault="00025890" w:rsidP="00CD0227">
            <w:pPr>
              <w:jc w:val="left"/>
            </w:pPr>
            <w:r>
              <w:t xml:space="preserve">Orientación de la transformación digital y la conectividad del departamento</w:t>
            </w:r>
          </w:p>
        </w:tc>
        <w:tc>
          <w:tcPr>
            <w:tcW w:w="2491"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CONPES 4144 de 2025</w:t>
            </w:r>
          </w:p>
        </w:tc>
        <w:tc>
          <w:tcPr>
            <w:tcW w:w="4430" w:type="dxa"/>
          </w:tcPr>
          <w:p w14:paraId="38A7A04F" w14:textId="3B0C1EE3" w:rsidR="00025890" w:rsidRPr="00EB5D92" w:rsidRDefault="00025890" w:rsidP="00CD0227">
            <w:pPr>
              <w:jc w:val="left"/>
            </w:pPr>
            <w:r>
              <w:t xml:space="preserve">Política nacional de inteligencia artificial</w:t>
            </w:r>
          </w:p>
        </w:tc>
        <w:tc>
          <w:tcPr>
            <w:tcW w:w="2491"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430"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491"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039676"/>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03967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6" name="Picture 2140727826"/>
            <wp:cNvGraphicFramePr>
              <a:graphicFrameLocks noChangeAspect="1"/>
            </wp:cNvGraphicFramePr>
            <a:graphic>
              <a:graphicData uri="http://schemas.openxmlformats.org/drawingml/2006/picture">
                <pic:pic>
                  <pic:nvPicPr>
                    <pic:cNvPr id="0" name="dofa.png"/>
                    <pic:cNvPicPr/>
                  </pic:nvPicPr>
                  <pic:blipFill>
                    <a:blip r:embed="rId79"/>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7" name="Picture 2140727827"/>
            <wp:cNvGraphicFramePr>
              <a:graphicFrameLocks noChangeAspect="1"/>
            </wp:cNvGraphicFramePr>
            <a:graphic>
              <a:graphicData uri="http://schemas.openxmlformats.org/drawingml/2006/picture">
                <pic:pic>
                  <pic:nvPicPr>
                    <pic:cNvPr id="0" name="dofa_cruzada.png"/>
                    <pic:cNvPicPr/>
                  </pic:nvPicPr>
                  <pic:blipFill>
                    <a:blip r:embed="rId80"/>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Matriz DOFA cruzada: estrategias y proyectos</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8" name="Picture 2140727828"/>
            <wp:cNvGraphicFramePr>
              <a:graphicFrameLocks noChangeAspect="1"/>
            </wp:cNvGraphicFramePr>
            <a:graphic>
              <a:graphicData uri="http://schemas.openxmlformats.org/drawingml/2006/picture">
                <pic:pic>
                  <pic:nvPicPr>
                    <pic:cNvPr id="0" name="alineacion_oc_oeti.png"/>
                    <pic:cNvPicPr/>
                  </pic:nvPicPr>
                  <pic:blipFill>
                    <a:blip r:embed="rId81"/>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La gerencia de TI ya depende de la Gerencia General, como pide el Decreto 415 de 2016 para que el líder de TI esté en el nivel directivo.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9" name="Picture 2140727829"/>
            <wp:cNvGraphicFramePr>
              <a:graphicFrameLocks noChangeAspect="1"/>
            </wp:cNvGraphicFramePr>
            <a:graphic>
              <a:graphicData uri="http://schemas.openxmlformats.org/drawingml/2006/picture">
                <pic:pic>
                  <pic:nvPicPr>
                    <pic:cNvPr id="0" name="organigrama_ti_objetivo.png"/>
                    <pic:cNvPicPr/>
                  </pic:nvPicPr>
                  <pic:blipFill>
                    <a:blip r:embed="rId82"/>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30" name="Picture 2140727830"/>
            <wp:cNvGraphicFramePr>
              <a:graphicFrameLocks noChangeAspect="1"/>
            </wp:cNvGraphicFramePr>
            <a:graphic>
              <a:graphicData uri="http://schemas.openxmlformats.org/drawingml/2006/picture">
                <pic:pic>
                  <pic:nvPicPr>
                    <pic:cNvPr id="0" name="arquitectura_objetivo.png"/>
                    <pic:cNvPicPr/>
                  </pic:nvPicPr>
                  <pic:blipFill>
                    <a:blip r:embed="rId83"/>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7"/>
        <w:gridCol w:w="891"/>
        <w:gridCol w:w="600"/>
        <w:gridCol w:w="2968"/>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pPr>
        <w:jc w:val="center"/>
      </w:pPr>
      <w:r>
        <w:drawing>
          <wp:inline xmlns:a="http://schemas.openxmlformats.org/drawingml/2006/main" xmlns:pic="http://schemas.openxmlformats.org/drawingml/2006/picture">
            <wp:extent cx="5760000" cy="2688768"/>
            <wp:docPr id="2140727831" name="Picture 2140727831"/>
            <wp:cNvGraphicFramePr>
              <a:graphicFrameLocks noChangeAspect="1"/>
            </wp:cNvGraphicFramePr>
            <a:graphic>
              <a:graphicData uri="http://schemas.openxmlformats.org/drawingml/2006/picture">
                <pic:pic>
                  <pic:nvPicPr>
                    <pic:cNvPr id="0" name="brechas_dominio.png"/>
                    <pic:cNvPicPr/>
                  </pic:nvPicPr>
                  <pic:blipFill>
                    <a:blip r:embed="rId84"/>
                    <a:stretch>
                      <a:fillRect/>
                    </a:stretch>
                  </pic:blipFill>
                  <pic:spPr>
                    <a:xfrm>
                      <a:off x="0" y="0"/>
                      <a:ext cx="5760000" cy="2688768"/>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Brechas por dominio y acción</w:t>
      </w:r>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Como entidad con más de 90 % de capital público, debe integrar sus planes institucionales al plan de acción (Decreto 612 de 2018) y seguir la Política de Gobierno Digital (Decreto 767 de 2022). La guía pide identificar las iniciativas de esos planes que tienen componente de TI y llevarlas al portafolio, para que no queden dos planes haciendo lo mismo. Cada iniciativa queda a cargo de un proyecto del numeral 8, así que su costo ya está incluido en ese proyecto y no se suma aparte.</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Iniciativas de otros planes con componente de TI</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441"/>
        <w:gridCol w:w="2819"/>
        <w:gridCol w:w="600"/>
        <w:gridCol w:w="3430"/>
        <w:gridCol w:w="1112"/>
        <w:gridCol w:w="600"/>
        <w:gridCol w:w="1095"/>
        <w:gridCol w:w="600"/>
        <w:gridCol w:w="600"/>
        <w:gridCol w:w="697"/>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44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Nombre</w:t>
            </w:r>
          </w:p>
        </w:tc>
        <w:tc>
          <w:tcPr>
            <w:tcW w:w="28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Plan asociado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Servicios</w:t>
            </w:r>
          </w:p>
        </w:tc>
        <w:tc>
          <w:tcPr>
            <w:tcW w:w="343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w:t>
            </w:r>
          </w:p>
        </w:tc>
        <w:tc>
          <w:tcPr>
            <w:tcW w:w="111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 estratégicas</w:t>
            </w:r>
          </w:p>
        </w:tc>
        <w:tc>
          <w:tcPr>
            <w:tcW w:w="109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Fecha de inicio</w:t>
            </w:r>
          </w:p>
        </w:tc>
        <w:tc>
          <w:tcPr>
            <w:tcW w:w="69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IPGD001</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Operación del MSPI y gestión de incidentes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Seguridad y Privacidad de la Información (Decreto 612 de 2018; Resolución 500 de 2021)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 SC02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de incidentes, SOC propio y autoevaluación anual del MSPI</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Planeación, Control Interno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IPGD002</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Tratamiento de riesgos de seguridad y continuidad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Tratamiento de Riesgos de Seguridad y Privacidad de la Información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de seguridad en la matriz institucional; plan de recuperación probado</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del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 y P1.6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IPGD003</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 y preservación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Archivos (PINAR, aprobado hasta 2027; Informe de gestión 2025, pág. 76)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 de gestión de documentos electrónicos con requisitos MoReq y plan de preservación digital</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Administrativa,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IPGD004</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Formación en uso de TI y seguridad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Capacitación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ST01, ST02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Formación en los sistemas nuevos y formación anual en seguridad</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METI11</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IPGD005</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Publicación de información y datos abiertos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de Transparencia y Ética Pública (Ley 2195 de 2022; antes Plan Anticorrupción)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Información del sitio web al día, conjuntos de datos abiertos y registro de activos de información</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Comunicaciones,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IPGD006</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Habilitadores de la Política de Gobierno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Política de Gobierno Digital (Decreto 767 de 2022)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Todos</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Arquitectura de TI (este PETI), seguridad y privacidad (IPGD001) y datos (IPGD005). Los servicios ciudadanos digitales no aplican, porque Valor+ no tiene trámites (numeral 5.1.7)</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METI03</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Proyectos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P1.1, P1.4 y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 BRE-009, BRE-012</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2" name="Picture 2140727832"/>
            <wp:cNvGraphicFramePr>
              <a:graphicFrameLocks noChangeAspect="1"/>
            </wp:cNvGraphicFramePr>
            <a:graphic>
              <a:graphicData uri="http://schemas.openxmlformats.org/drawingml/2006/picture">
                <pic:pic>
                  <pic:nvPicPr>
                    <pic:cNvPr id="0" name="presupuesto_vigencias.png"/>
                    <pic:cNvPicPr/>
                  </pic:nvPicPr>
                  <pic:blipFill>
                    <a:blip r:embed="rId85"/>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13</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3" name="Picture 2140727833"/>
            <wp:cNvGraphicFramePr>
              <a:graphicFrameLocks noChangeAspect="1"/>
            </wp:cNvGraphicFramePr>
            <a:graphic>
              <a:graphicData uri="http://schemas.openxmlformats.org/drawingml/2006/picture">
                <pic:pic>
                  <pic:nvPicPr>
                    <pic:cNvPr id="0" name="mapa_ruta.png"/>
                    <pic:cNvPicPr/>
                  </pic:nvPicPr>
                  <pic:blipFill>
                    <a:blip r:embed="rId86"/>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14</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(2016). </w:t>
      </w:r>
      <w:r>
        <w:rPr>
          <w:i/>
        </w:rPr>
        <w:t xml:space="preserve">Decreto 415 de 2016</w:t>
      </w:r>
      <w:r>
        <w:t xml:space="preserve">.</w:t>
      </w:r>
    </w:p>
    <w:p>
      <w:r>
        <w:t xml:space="preserve">Presidencia de la República. (2017). </w:t>
      </w:r>
      <w:r>
        <w:rPr>
          <w:i/>
        </w:rPr>
        <w:t xml:space="preserve">Decreto 1499 de 2017</w:t>
      </w:r>
      <w:r>
        <w:t xml:space="preserve">.</w:t>
      </w:r>
    </w:p>
    <w:p>
      <w:r>
        <w:t xml:space="preserve">Presidencia de la República. (2020). </w:t>
      </w:r>
      <w:r>
        <w:rPr>
          <w:i/>
        </w:rPr>
        <w:t xml:space="preserve">Decreto 620 de 2020</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92</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 Id="rId85" Type="http://schemas.openxmlformats.org/officeDocument/2006/relationships/image" Target="media/image37.png"/><Relationship Id="rId86" Type="http://schemas.openxmlformats.org/officeDocument/2006/relationships/image" Target="media/image3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