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Artículos para revisión – Scopus Q3–Q4 (ScienceDirect)</w:t>
      </w:r>
    </w:p>
    <w:p>
      <w:pPr>
        <w:pStyle w:val="Title"/>
      </w:pPr>
      <w:r>
        <w:t>Avances y desafíos en la práctica de la Medicina Humana en el contexto de la salud pública peruana: Una revisión bibliográfica crítica</w:t>
      </w:r>
    </w:p>
    <w:p>
      <w:r>
        <w:t>Variable 1 específica (inglés): human medicine</w:t>
        <w:br/>
      </w:r>
    </w:p>
    <w:p>
      <w:r>
        <w:t>https://www.sciencedirect.com/science/article/pii/S2414644721000968</w:t>
      </w:r>
    </w:p>
    <w:p>
      <w:r>
        <w:t>https://www.sciencedirect.com/topics/medicine-and-dentistry/evolutionary-medicine</w:t>
      </w:r>
    </w:p>
    <w:p>
      <w:r>
        <w:t>https://www.sciencedirect.com/science/article/pii/S135964462500131X</w:t>
      </w:r>
    </w:p>
    <w:p>
      <w:r>
        <w:t>https://www.sciencedirect.com/science/article/pii/S0960982223017384</w:t>
      </w:r>
    </w:p>
    <w:p>
      <w:r>
        <w:t>https://www.sciencedirect.com/org/science/article/pii/S2397856221000355</w:t>
      </w:r>
    </w:p>
    <w:p>
      <w:r>
        <w:t>https://www.sciencedirect.com/science/article/pii/S1535947624000276</w:t>
      </w:r>
    </w:p>
    <w:p>
      <w:r>
        <w:t>https://www.sciencedirect.com/science/article/abs/pii/S0167587709002566</w:t>
      </w:r>
    </w:p>
    <w:p>
      <w:r>
        <w:t>https://www.sciencedirect.com/science/article/pii/S0167779908001406</w:t>
      </w:r>
    </w:p>
    <w:p>
      <w:r>
        <w:t>https://www.sciencedirect.com/science/article/pii/S0168160506002856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