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color w:val="5B6676"/>
          <w:sz w:val="28"/>
          <w:szCs w:val="28"/>
        </w:rPr>
        <w:t xml:space="preserve">Research Progress Report</w:t>
      </w:r>
    </w:p>
    <w:p>
      <w:pPr>
        <w:spacing w:after="300"/>
        <w:jc w:val="center"/>
      </w:pPr>
      <w:r>
        <w:rPr>
          <w:b/>
          <w:bCs/>
          <w:color w:val="1C4E9A"/>
          <w:sz w:val="40"/>
          <w:szCs w:val="40"/>
        </w:rPr>
        <w:t xml:space="preserve">Exact-Statistics Anchoring for Generator-Based Heterogeneous Federated Learning under Long-Tailed Data</w:t>
      </w:r>
    </w:p>
    <w:p>
      <w:pPr>
        <w:spacing w:after="1200"/>
        <w:jc w:val="center"/>
      </w:pPr>
      <w:r>
        <w:rPr>
          <w:i/>
          <w:iCs/>
          <w:color w:val="5B6676"/>
          <w:sz w:val="24"/>
          <w:szCs w:val="24"/>
        </w:rPr>
        <w:t xml:space="preserve">Why rare classes vanish from GeFL-F, and how Ours-A brings them back</w:t>
      </w:r>
    </w:p>
    <w:p>
      <w:pPr>
        <w:spacing w:after="120"/>
        <w:jc w:val="center"/>
      </w:pPr>
      <w:r>
        <w:rPr>
          <w:sz w:val="24"/>
          <w:szCs w:val="24"/>
        </w:rPr>
        <w:t xml:space="preserve">Submitted by: [Student Name]   ·   [Roll No.]</w:t>
      </w:r>
    </w:p>
    <w:p>
      <w:pPr>
        <w:spacing w:after="120"/>
        <w:jc w:val="center"/>
      </w:pPr>
      <w:r>
        <w:rPr>
          <w:sz w:val="24"/>
          <w:szCs w:val="24"/>
        </w:rPr>
        <w:t xml:space="preserve">Supervisor: [Professor Name]</w:t>
      </w:r>
    </w:p>
    <w:p>
      <w:pPr>
        <w:spacing w:after="120"/>
        <w:jc w:val="center"/>
      </w:pPr>
      <w:r>
        <w:rPr>
          <w:sz w:val="24"/>
          <w:szCs w:val="24"/>
        </w:rPr>
        <w:t xml:space="preserve">[Department], [Institute]</w:t>
      </w:r>
    </w:p>
    <w:p>
      <w:pPr>
        <w:spacing w:after="120"/>
        <w:jc w:val="center"/>
      </w:pPr>
      <w:r>
        <w:rPr>
          <w:sz w:val="24"/>
          <w:szCs w:val="24"/>
        </w:rPr>
        <w:t xml:space="preserve">October 2026</w:t>
      </w:r>
    </w:p>
    <w:p>
      <w:r>
        <w:br w:type="page"/>
      </w:r>
    </w:p>
    <w:p>
      <w:pPr>
        <w:pStyle w:val="Heading1"/>
        <w:spacing w:after="200"/>
      </w:pPr>
      <w:r>
        <w:t xml:space="preserve">Summary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Problem:</w:t>
      </w:r>
      <w:r>
        <w:t xml:space="preserve"> under long-tailed clients GeFL-F loses 21–25 points; rare classes are almost never predicted.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Cause:</w:t>
      </w:r>
      <w:r>
        <w:t xml:space="preserve"> FedAvg shrinks the generator's class rows for classes that fewer than half of the clients have.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Our architecture (Ours-A):</w:t>
      </w:r>
      <w:r>
        <w:t xml:space="preserve"> class identity from the exact class mean, fake features corrected to exact class statistics, consensus labels, client-prior loss.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0"/>
        <w:gridCol w:w="1205"/>
        <w:gridCol w:w="2410"/>
        <w:gridCol w:w="1003"/>
      </w:tblGrid>
      <w:tr>
        <w:trPr>
          <w:tblHeader/>
        </w:trPr>
        <w:tc>
          <w:tcPr>
            <w:tcW w:type="dxa" w:w="50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 (3 seeds, same seeds and splits for every method)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GeFL-F</w:t>
            </w:r>
          </w:p>
        </w:tc>
        <w:tc>
          <w:tcPr>
            <w:tcW w:type="dxa" w:w="2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Ours-A</w:t>
            </w:r>
          </w:p>
        </w:tc>
        <w:tc>
          <w:tcPr>
            <w:tcW w:type="dxa" w:w="10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Gain</w:t>
            </w:r>
          </w:p>
        </w:tc>
      </w:tr>
      <w:tr>
        <w:tc>
          <w:tcPr>
            <w:tcW w:type="dxa" w:w="50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MNIST, long tail (balanced accuracy)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75.25</w:t>
            </w:r>
          </w:p>
        </w:tc>
        <w:tc>
          <w:tcPr>
            <w:tcW w:type="dxa" w:w="2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94.82</w:t>
            </w:r>
          </w:p>
        </w:tc>
        <w:tc>
          <w:tcPr>
            <w:tcW w:type="dxa" w:w="10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+19.6</w:t>
            </w:r>
          </w:p>
        </w:tc>
      </w:tr>
      <w:tr>
        <w:tc>
          <w:tcPr>
            <w:tcW w:type="dxa" w:w="50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FashionMNIST, long tail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58.47</w:t>
            </w:r>
          </w:p>
        </w:tc>
        <w:tc>
          <w:tcPr>
            <w:tcW w:type="dxa" w:w="2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79.67</w:t>
            </w:r>
          </w:p>
        </w:tc>
        <w:tc>
          <w:tcPr>
            <w:tcW w:type="dxa" w:w="10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+21.2</w:t>
            </w:r>
          </w:p>
        </w:tc>
      </w:tr>
      <w:tr>
        <w:tc>
          <w:tcPr>
            <w:tcW w:type="dxa" w:w="50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CIFAR-10, long tail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33.74</w:t>
            </w:r>
          </w:p>
        </w:tc>
        <w:tc>
          <w:tcPr>
            <w:tcW w:type="dxa" w:w="2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44.38</w:t>
            </w:r>
          </w:p>
        </w:tc>
        <w:tc>
          <w:tcPr>
            <w:tcW w:type="dxa" w:w="10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+10.6</w:t>
            </w:r>
          </w:p>
        </w:tc>
      </w:tr>
      <w:tr>
        <w:tc>
          <w:tcPr>
            <w:tcW w:type="dxa" w:w="50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SVHN, long tail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50.49</w:t>
            </w:r>
          </w:p>
        </w:tc>
        <w:tc>
          <w:tcPr>
            <w:tcW w:type="dxa" w:w="2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54.41</w:t>
            </w:r>
          </w:p>
        </w:tc>
        <w:tc>
          <w:tcPr>
            <w:tcW w:type="dxa" w:w="10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+3.9</w:t>
            </w:r>
          </w:p>
        </w:tc>
      </w:tr>
      <w:tr>
        <w:tc>
          <w:tcPr>
            <w:tcW w:type="dxa" w:w="50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MNIST, 100 clients, long tail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75.98</w:t>
            </w:r>
          </w:p>
        </w:tc>
        <w:tc>
          <w:tcPr>
            <w:tcW w:type="dxa" w:w="2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94.30</w:t>
            </w:r>
          </w:p>
        </w:tc>
        <w:tc>
          <w:tcPr>
            <w:tcW w:type="dxa" w:w="10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+18.3</w:t>
            </w:r>
          </w:p>
        </w:tc>
      </w:tr>
      <w:tr>
        <w:tc>
          <w:tcPr>
            <w:tcW w:type="dxa" w:w="50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Paper's balanced setting vs the best of its 10 methods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above on MNIST (10/50/100 clients) and CIFAR-10; level on FMNIST; below on SVHN</w:t>
            </w:r>
          </w:p>
        </w:tc>
        <w:tc>
          <w:tcPr>
            <w:tcW w:type="dxa" w:w="10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</w:p>
        </w:tc>
      </w:tr>
    </w:tbl>
    <w:p>
      <w:pPr>
        <w:spacing w:after="160"/>
      </w:pPr>
    </w:p>
    <w:p>
      <w:pPr>
        <w:pStyle w:val="Heading1"/>
        <w:pageBreakBefore/>
        <w:spacing w:after="200"/>
      </w:pPr>
      <w:r>
        <w:t xml:space="preserve">1. The baseline: GeFL-F and the full lifecycle of its data</w:t>
      </w:r>
    </w:p>
    <w:p>
      <w:pPr>
        <w:pStyle w:val="Heading2"/>
        <w:spacing w:after="120" w:before="240"/>
      </w:pPr>
      <w:r>
        <w:t xml:space="preserve">1.1 Setting and notation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Clients.</w:t>
      </w:r>
      <w:r>
        <w:t xml:space="preserve"> K clients (K = 10, 50 or 100). Client k holds private data D_k and a classifier head of architecture a(k), one of G = 10 CNNs (CNN-1 … CNN-10), assigned contiguously (K/10 clients per architecture).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Data.</w:t>
      </w:r>
      <w:r>
        <w:t xml:space="preserve"> MNIST, FashionMNIST and SVHN use a 10% fraction of the training set (6,000 / 6,000 / 7,326 images); CIFAR-10 uses 50% (25,000). In the paper's setting the data are split IID across clients. Test sets are the full balanced test sets.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Models.</w:t>
      </w:r>
      <w:r>
        <w:t xml:space="preserve"> One shared feature extractor φ, one shared conditional generator G(h | y), and K private heads h_k.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Metric.</w:t>
      </w:r>
      <w:r>
        <w:t xml:space="preserve"> The paper's </w:t>
      </w:r>
      <w:r>
        <w:rPr>
          <w:i/>
          <w:iCs/>
        </w:rPr>
        <w:t xml:space="preserve">best_mean_acc</w:t>
      </w:r>
      <w:r>
        <w:t xml:space="preserve">: each architecture's test accuracy at its best round, averaged over the 10 architectures. Under the long tail we report balanced accuracy at the final round, and </w:t>
      </w:r>
      <w:r>
        <w:rPr>
          <w:i/>
          <w:iCs/>
        </w:rPr>
        <w:t xml:space="preserve">tail recall</w:t>
      </w:r>
      <w:r>
        <w:t xml:space="preserve"> (mean recall of the four rarest classes).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905250"/>
            <wp:effectExtent t="0" r="0" b="0" l="0"/>
            <wp:docPr id="1" name="f01_overview.png" descr="Figure 1. GeFL-F system view: what is local, what is shared, and which messages travel in each stage." title="f01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676"/>
          <w:sz w:val="18"/>
          <w:szCs w:val="18"/>
        </w:rPr>
        <w:t xml:space="preserve">Figure 1. GeFL-F system view: what is local, what is shared, and which messages travel in each stage.</w:t>
      </w:r>
    </w:p>
    <w:p>
      <w:pPr>
        <w:pStyle w:val="Heading2"/>
        <w:spacing w:after="120" w:before="240"/>
      </w:pPr>
      <w:r>
        <w:t xml:space="preserve">1.2 Model architectures and tensor shapes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295650"/>
            <wp:effectExtent t="0" r="0" b="0" l="0"/>
            <wp:docPr id="2" name="f03_architectures.png" descr="Figure 2. Architectures. The CVAE-F's label projection W (C × 512) holds the only class-specific parameters; this matters in Part 2." title="f03_architect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676"/>
          <w:sz w:val="18"/>
          <w:szCs w:val="18"/>
        </w:rPr>
        <w:t xml:space="preserve">Figure 2. Architectures. The CVAE-F's label projection W (C × 512) holds the only class-specific parameters; this matters in Part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9"/>
        <w:gridCol w:w="1853"/>
        <w:gridCol w:w="2780"/>
        <w:gridCol w:w="1112"/>
        <w:gridCol w:w="1854"/>
      </w:tblGrid>
      <w:tr>
        <w:trPr>
          <w:tblHeader/>
        </w:trPr>
        <w:tc>
          <w:tcPr>
            <w:tcW w:type="dxa" w:w="203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8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1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18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Shared?</w:t>
            </w:r>
          </w:p>
        </w:tc>
      </w:tr>
      <w:tr>
        <w:tc>
          <w:tcPr>
            <w:tcW w:type="dxa" w:w="203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Feature extractor φ (Table XIV)</w:t>
            </w:r>
          </w:p>
        </w:tc>
        <w:tc>
          <w:tcPr>
            <w:tcW w:type="dxa" w:w="18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image resized to 1×32×32 (MNIST, FMNIST) / 3×32×32</w:t>
            </w:r>
          </w:p>
        </w:tc>
        <w:tc>
          <w:tcPr>
            <w:tcW w:type="dxa" w:w="2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feature h: 3×16×16 = 768 (MNIST, FMNIST, SVHN); CIFAR-10 10×16×16 = 2,560</w:t>
            </w:r>
          </w:p>
        </w:tc>
        <w:tc>
          <w:tcPr>
            <w:tcW w:type="dxa" w:w="11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 / 90 / 390</w:t>
            </w:r>
          </w:p>
        </w:tc>
        <w:tc>
          <w:tcPr>
            <w:tcW w:type="dxa" w:w="18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 (FedAvg in Stage I, then frozen)</w:t>
            </w:r>
          </w:p>
        </w:tc>
      </w:tr>
      <w:tr>
        <w:tc>
          <w:tcPr>
            <w:tcW w:type="dxa" w:w="203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Generator G, CVAE-F (Table XX)</w:t>
            </w:r>
          </w:p>
        </w:tc>
        <w:tc>
          <w:tcPr>
            <w:tcW w:type="dxa" w:w="18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 (+ label map) → z (l = 16; 50 for CIFAR-10)</w:t>
            </w:r>
          </w:p>
        </w:tc>
        <w:tc>
          <w:tcPr>
            <w:tcW w:type="dxa" w:w="2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ĥ, same shape as h</w:t>
            </w:r>
          </w:p>
        </w:tc>
        <w:tc>
          <w:tcPr>
            <w:tcW w:type="dxa" w:w="11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5.5 M</w:t>
            </w:r>
          </w:p>
        </w:tc>
        <w:tc>
          <w:tcPr>
            <w:tcW w:type="dxa" w:w="18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 (FedAvg in Stage II, then frozen)</w:t>
            </w:r>
          </w:p>
        </w:tc>
      </w:tr>
      <w:tr>
        <w:tc>
          <w:tcPr>
            <w:tcW w:type="dxa" w:w="203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Heads CNN-1 … CNN-10 (Tables XXI–XXIII)</w:t>
            </w:r>
          </w:p>
        </w:tc>
        <w:tc>
          <w:tcPr>
            <w:tcW w:type="dxa" w:w="18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feature h</w:t>
            </w:r>
          </w:p>
        </w:tc>
        <w:tc>
          <w:tcPr>
            <w:tcW w:type="dxa" w:w="27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 logits</w:t>
            </w:r>
          </w:p>
        </w:tc>
        <w:tc>
          <w:tcPr>
            <w:tcW w:type="dxa" w:w="11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5.3 k – 109.8 k</w:t>
            </w:r>
          </w:p>
        </w:tc>
        <w:tc>
          <w:tcPr>
            <w:tcW w:type="dxa" w:w="18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(averaged only within an architecture group)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1.3 Lifecycle: three sequential stages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990850"/>
            <wp:effectExtent t="0" r="0" b="0" l="0"/>
            <wp:docPr id="3" name="f02_timeline.png" descr="Figure 3. The three stages, with rounds, local epochs, data, optimiser and loss of each." title="f02_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676"/>
          <w:sz w:val="18"/>
          <w:szCs w:val="18"/>
        </w:rPr>
        <w:t xml:space="preserve">Figure 3. The three stages, with rounds, local epochs, data, optimiser and loss of each.</w:t>
      </w:r>
    </w:p>
    <w:p>
      <w:pPr>
        <w:pStyle w:val="Heading3"/>
        <w:spacing w:after="80" w:before="180"/>
      </w:pPr>
      <w:r>
        <w:t xml:space="preserve">Stage I: feature-extractor warm-up (T_FE = 20 rounds; 50 for SVHN and CIFAR-10)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Local data:</w:t>
      </w:r>
      <w:r>
        <w:t xml:space="preserve"> the client's real images x with labels 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Local training:</w:t>
      </w:r>
      <w:r>
        <w:t xml:space="preserve"> 5 epochs per round; φ and the client's head trained jointly; SGD, learning rate 0.1, batch 64 (128 for CIFAR-10); loss = cross-entropy CE(h_k(φ(x)), 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Uplink:</w:t>
      </w:r>
      <w:r>
        <w:t xml:space="preserve"> φ's weights (36–390 numbers) and the head's weights (5.3 k–110 k numbers).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Aggregation:</w:t>
      </w:r>
      <w:r>
        <w:t xml:space="preserve"> φ is averaged over all clients (FedAvg, equation below); heads are averaged within each architecture group.</w:t>
      </w:r>
    </w:p>
    <w:p>
      <w:pPr>
        <w:spacing w:after="120" w:before="80"/>
        <w:jc w:val="center"/>
      </w:pPr>
      <w:r>
        <w:drawing>
          <wp:inline distT="0" distB="0" distL="0" distR="0">
            <wp:extent cx="3552825" cy="552450"/>
            <wp:effectExtent t="0" r="0" b="0" l="0"/>
            <wp:docPr id="4" name="eq_fedavg" descr="equation" title="eq_feda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676"/>
        </w:rPr>
        <w:t xml:space="preserve">     (1)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Downlink:</w:t>
      </w:r>
      <w:r>
        <w:t xml:space="preserve"> the averaged φ and heads. At the end of Stage I, φ is frozen for the rest of training.</w:t>
      </w:r>
    </w:p>
    <w:p>
      <w:pPr>
        <w:pStyle w:val="Heading3"/>
        <w:spacing w:after="80" w:before="180"/>
      </w:pPr>
      <w:r>
        <w:t xml:space="preserve">Stage II: federated feature generator (T_KA = 100 rounds; 200 for CIFAR-10)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Local data:</w:t>
      </w:r>
      <w:r>
        <w:t xml:space="preserve"> real features h = φ(x) of the client's own images, with their labels.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Local training:</w:t>
      </w:r>
      <w:r>
        <w:t xml:space="preserve"> 5 epochs per round of the conditional VAE, Adam with learning rate 10⁻³ and coupled weight decay 10⁻³, batch 64. The loss is the evidence lower bound:</w:t>
      </w:r>
    </w:p>
    <w:p>
      <w:pPr>
        <w:spacing w:after="120" w:before="80"/>
        <w:jc w:val="center"/>
      </w:pPr>
      <w:r>
        <w:drawing>
          <wp:inline distT="0" distB="0" distL="0" distR="0">
            <wp:extent cx="4752975" cy="342900"/>
            <wp:effectExtent t="0" r="0" b="0" l="0"/>
            <wp:docPr id="5" name="eq_cvae" descr="equation" title="eq_cv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676"/>
        </w:rPr>
        <w:t xml:space="preserve">     (2)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label enters the decoder through W^T e_y, i.e. the class-c row w_c of the label projection: these C × 512 numbers are the generator's </w:t>
      </w:r>
      <w:r>
        <w:rPr>
          <w:i/>
          <w:iCs/>
        </w:rPr>
        <w:t xml:space="preserve">only</w:t>
      </w:r>
      <w:r>
        <w:t xml:space="preserve"> class-specific parameters.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Uplink:</w:t>
      </w:r>
      <w:r>
        <w:t xml:space="preserve"> every generator weight, about 5.5 million numbers (≈ 22 MB at fp32) per client per round, ≈ 2.2 GB per client over Stage II.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Aggregation:</w:t>
      </w:r>
      <w:r>
        <w:t xml:space="preserve"> FedAvg of all weights, including W (equation 1). </w:t>
      </w:r>
      <w:r>
        <w:rPr>
          <w:b/>
          <w:bCs/>
        </w:rPr>
        <w:t xml:space="preserve">Downlink:</w:t>
      </w:r>
      <w:r>
        <w:t xml:space="preserve"> the averaged generator. At the end of Stage II, G is frozen and every client keeps a copy.</w:t>
      </w:r>
    </w:p>
    <w:p>
      <w:pPr>
        <w:pStyle w:val="Heading3"/>
        <w:spacing w:after="80" w:before="180"/>
      </w:pPr>
      <w:r>
        <w:t xml:space="preserve">Stage III: heterogeneous head training (T_TN = 50 rounds; 100 for SVHN and CIFAR-10)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Synthetic phase:</w:t>
      </w:r>
      <w:r>
        <w:t xml:space="preserve"> T_s = 1 epoch on generated features h̃ = G(z, y), with y drawn uniformly over the 10 classes and z ~ N(0, I), sampled locally from the client's own copy of G; loss CE(h_k(h̃), 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Real phase:</w:t>
      </w:r>
      <w:r>
        <w:t xml:space="preserve"> T_r = 5 epochs on the client's real features φ(x); loss CE(h_k(φ(x)), y); SGD, learning rate 0.1.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Uplink and aggregation:</w:t>
      </w:r>
      <w:r>
        <w:t xml:space="preserve"> head weights, averaged within an architecture group only when several clients share an architecture (K = 50, 100). At K = 10 each architecture has one client, and nothing is exchanged in this stage.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124075"/>
            <wp:effectExtent t="0" r="0" b="0" l="0"/>
            <wp:docPr id="6" name="f04_round.png" descr="Figure 4. One Stage-III round. Classes a client does not hold reach its head only through the generator." title="f04_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676"/>
          <w:sz w:val="18"/>
          <w:szCs w:val="18"/>
        </w:rPr>
        <w:t xml:space="preserve">Figure 4. One Stage-III round. Classes a client does not hold reach its head only through the generator.</w:t>
      </w:r>
    </w:p>
    <w:p>
      <w:pPr>
        <w:pStyle w:val="Heading2"/>
        <w:spacing w:after="120" w:before="240"/>
      </w:pPr>
      <w:r>
        <w:t xml:space="preserve">1.4 Communication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3"/>
        <w:gridCol w:w="3855"/>
        <w:gridCol w:w="3132"/>
        <w:gridCol w:w="1928"/>
      </w:tblGrid>
      <w:tr>
        <w:trPr>
          <w:tblHeader/>
        </w:trPr>
        <w:tc>
          <w:tcPr>
            <w:tcW w:type="dxa" w:w="7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8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Uplink per client per round</w:t>
            </w:r>
          </w:p>
        </w:tc>
        <w:tc>
          <w:tcPr>
            <w:tcW w:type="dxa" w:w="313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Server operation</w:t>
            </w:r>
          </w:p>
        </w:tc>
        <w:tc>
          <w:tcPr>
            <w:tcW w:type="dxa" w:w="19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Downlink</w:t>
            </w:r>
          </w:p>
        </w:tc>
      </w:tr>
      <w:tr>
        <w:tc>
          <w:tcPr>
            <w:tcW w:type="dxa" w:w="7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38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φ (36–390) + head (5.3 k–110 k numbers)</w:t>
            </w:r>
          </w:p>
        </w:tc>
        <w:tc>
          <w:tcPr>
            <w:tcW w:type="dxa" w:w="313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FedAvg(φ); heads within groups</w:t>
            </w:r>
          </w:p>
        </w:tc>
        <w:tc>
          <w:tcPr>
            <w:tcW w:type="dxa" w:w="19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averaged φ, heads</w:t>
            </w:r>
          </w:p>
        </w:tc>
      </w:tr>
      <w:tr>
        <w:tc>
          <w:tcPr>
            <w:tcW w:type="dxa" w:w="7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II</w:t>
            </w:r>
          </w:p>
        </w:tc>
        <w:tc>
          <w:tcPr>
            <w:tcW w:type="dxa" w:w="38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all generator weights, ≈ 5.5 M numbers (≈ 22 MB)</w:t>
            </w:r>
          </w:p>
        </w:tc>
        <w:tc>
          <w:tcPr>
            <w:tcW w:type="dxa" w:w="313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FedAvg(G)</w:t>
            </w:r>
          </w:p>
        </w:tc>
        <w:tc>
          <w:tcPr>
            <w:tcW w:type="dxa" w:w="19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averaged G</w:t>
            </w:r>
          </w:p>
        </w:tc>
      </w:tr>
      <w:tr>
        <w:tc>
          <w:tcPr>
            <w:tcW w:type="dxa" w:w="7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III</w:t>
            </w:r>
          </w:p>
        </w:tc>
        <w:tc>
          <w:tcPr>
            <w:tcW w:type="dxa" w:w="38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head weights (only if an architecture has several clients)</w:t>
            </w:r>
          </w:p>
        </w:tc>
        <w:tc>
          <w:tcPr>
            <w:tcW w:type="dxa" w:w="313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average within architecture groups</w:t>
            </w:r>
          </w:p>
        </w:tc>
        <w:tc>
          <w:tcPr>
            <w:tcW w:type="dxa" w:w="19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averaged heads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b/>
          <w:bCs/>
        </w:rPr>
        <w:t xml:space="preserve">Privacy:</w:t>
      </w:r>
      <w:r>
        <w:t xml:space="preserve"> images, features and labels never leave a client; only model weights move (same as FedAvg).</w:t>
      </w:r>
    </w:p>
    <w:p>
      <w:pPr>
        <w:pStyle w:val="Heading2"/>
        <w:spacing w:after="120" w:before="240"/>
      </w:pPr>
      <w:r>
        <w:t xml:space="preserve">1.5 Validation of our reproduction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1"/>
        <w:gridCol w:w="1410"/>
        <w:gridCol w:w="1646"/>
        <w:gridCol w:w="1881"/>
      </w:tblGrid>
      <w:tr>
        <w:trPr>
          <w:tblHeader/>
        </w:trPr>
        <w:tc>
          <w:tcPr>
            <w:tcW w:type="dxa" w:w="47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1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W w:type="dxa" w:w="16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Authors' code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Ours</w:t>
            </w:r>
          </w:p>
        </w:tc>
      </w:tr>
      <w:tr>
        <w:tc>
          <w:tcPr>
            <w:tcW w:type="dxa" w:w="47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MNIST IID, K = 10 (best_mean_acc)</w:t>
            </w:r>
          </w:p>
        </w:tc>
        <w:tc>
          <w:tcPr>
            <w:tcW w:type="dxa" w:w="1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95.47</w:t>
            </w:r>
          </w:p>
        </w:tc>
        <w:tc>
          <w:tcPr>
            <w:tcW w:type="dxa" w:w="16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96.07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96.02 ± 0.04</w:t>
            </w:r>
          </w:p>
        </w:tc>
      </w:tr>
      <w:tr>
        <w:tc>
          <w:tcPr>
            <w:tcW w:type="dxa" w:w="47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MNIST IID, K = 50</w:t>
            </w:r>
          </w:p>
        </w:tc>
        <w:tc>
          <w:tcPr>
            <w:tcW w:type="dxa" w:w="1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95.04</w:t>
            </w:r>
          </w:p>
        </w:tc>
        <w:tc>
          <w:tcPr>
            <w:tcW w:type="dxa" w:w="16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95.16</w:t>
            </w:r>
          </w:p>
        </w:tc>
      </w:tr>
      <w:tr>
        <w:tc>
          <w:tcPr>
            <w:tcW w:type="dxa" w:w="47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MNIST IID, K = 100</w:t>
            </w:r>
          </w:p>
        </w:tc>
        <w:tc>
          <w:tcPr>
            <w:tcW w:type="dxa" w:w="1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94.63</w:t>
            </w:r>
          </w:p>
        </w:tc>
        <w:tc>
          <w:tcPr>
            <w:tcW w:type="dxa" w:w="16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94.61</w:t>
            </w:r>
          </w:p>
        </w:tc>
      </w:tr>
      <w:tr>
        <w:tc>
          <w:tcPr>
            <w:tcW w:type="dxa" w:w="47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FashionMNIST IID, K = 10</w:t>
            </w:r>
          </w:p>
        </w:tc>
        <w:tc>
          <w:tcPr>
            <w:tcW w:type="dxa" w:w="1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83.14</w:t>
            </w:r>
          </w:p>
        </w:tc>
        <w:tc>
          <w:tcPr>
            <w:tcW w:type="dxa" w:w="16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82.67 ± 0.31</w:t>
            </w:r>
          </w:p>
        </w:tc>
      </w:tr>
      <w:tr>
        <w:tc>
          <w:tcPr>
            <w:tcW w:type="dxa" w:w="470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MNIST long tail, seed 0 (final balanced accuracy)</w:t>
            </w:r>
          </w:p>
        </w:tc>
        <w:tc>
          <w:tcPr>
            <w:tcW w:type="dxa" w:w="1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6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75.84</w:t>
            </w:r>
          </w:p>
        </w:tc>
        <w:tc>
          <w:tcPr>
            <w:tcW w:type="dxa" w:w="18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73.92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t xml:space="preserve">Our GeFL-F matches the paper within 0.5 points in the balanced setting.</w:t>
      </w:r>
    </w:p>
    <w:p>
      <w:pPr>
        <w:pStyle w:val="Heading1"/>
        <w:pageBreakBefore/>
        <w:spacing w:after="200"/>
      </w:pPr>
      <w:r>
        <w:t xml:space="preserve">2. The problem: rare classes vanish under long-tailed clients</w:t>
      </w:r>
    </w:p>
    <w:p>
      <w:pPr>
        <w:pStyle w:val="Heading2"/>
        <w:spacing w:after="120" w:before="240"/>
      </w:pPr>
      <w:r>
        <w:t xml:space="preserve">2.1 The long-tailed federation</w:t>
      </w:r>
    </w:p>
    <w:p>
      <w:pPr>
        <w:spacing w:after="120" w:line="276"/>
        <w:jc w:val="both"/>
      </w:pPr>
      <w:r>
        <w:t xml:space="preserve">Class sizes n_c ∝ IF^{c/(C−1)}, IF = 100 (MNIST: 24 to ≈2,400 samples). Client shares: Dirichlet(0.5). Test sets balanced.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381250"/>
            <wp:effectExtent t="0" r="0" b="0" l="0"/>
            <wp:docPr id="7" name="f05_problem.png" descr="Figure 5. (a) GeFL-F's accuracy under the long tail. (b) Its tail classes' conditioning rows and fidelity. (c) The collapse bound of Proposition 1." title="f05_pro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676"/>
          <w:sz w:val="18"/>
          <w:szCs w:val="18"/>
        </w:rPr>
        <w:t xml:space="preserve">Figure 5. (a) GeFL-F's accuracy under the long tail. (b) Its tail classes' conditioning rows and fidelity. (c) The collapse bound of Proposition 1.</w:t>
      </w:r>
    </w:p>
    <w:p>
      <w:pPr>
        <w:pStyle w:val="Heading2"/>
        <w:spacing w:after="120" w:before="240"/>
      </w:pPr>
      <w:r>
        <w:t xml:space="preserve">2.2 Diagnosis: the conditioning-row recursion</w:t>
      </w:r>
    </w:p>
    <w:p>
      <w:pPr>
        <w:spacing w:after="120" w:line="276"/>
        <w:jc w:val="both"/>
      </w:pPr>
      <w:r>
        <w:t xml:space="preserve">A client without class c gets only the weight-decay gradient on row w_c. Adam turns this into a fixed step toward zero. Holders (m_c of K) push up, non-holders push down, and FedAvg averages:</w:t>
      </w:r>
    </w:p>
    <w:p>
      <w:pPr>
        <w:spacing w:after="120" w:before="80"/>
        <w:jc w:val="center"/>
      </w:pPr>
      <w:r>
        <w:drawing>
          <wp:inline distT="0" distB="0" distL="0" distR="0">
            <wp:extent cx="3962400" cy="352425"/>
            <wp:effectExtent t="0" r="0" b="0" l="0"/>
            <wp:docPr id="8" name="eq_collapse" descr="equation" title="eq_collap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676"/>
        </w:rPr>
        <w:t xml:space="preserve">     (approximate bound)</w:t>
      </w:r>
    </w:p>
    <w:p>
      <w:pPr>
        <w:spacing w:after="120" w:line="276"/>
        <w:jc w:val="both"/>
      </w:pPr>
      <w:r>
        <w:t xml:space="preserve">So every class held by fewer than half of the clients loses its row </w:t>
      </w:r>
      <w:r>
        <w:rPr>
          <w:b/>
          <w:bCs/>
        </w:rPr>
        <w:t xml:space="preserve">every round</w:t>
      </w:r>
      <w:r>
        <w:t xml:space="preserve">, and its fake features become class-agnostic.</w:t>
      </w:r>
    </w:p>
    <w:p>
      <w:pPr>
        <w:pStyle w:val="Heading2"/>
        <w:spacing w:after="120" w:before="240"/>
      </w:pPr>
      <w:r>
        <w:t xml:space="preserve">2.3 Evidence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1516"/>
        <w:gridCol w:w="1733"/>
        <w:gridCol w:w="1516"/>
      </w:tblGrid>
      <w:tr>
        <w:trPr>
          <w:tblHeader/>
        </w:trPr>
        <w:tc>
          <w:tcPr>
            <w:tcW w:type="dxa" w:w="48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Measurement (IF = 100, Dir 0.5, K = 10)</w:t>
            </w:r>
          </w:p>
        </w:tc>
        <w:tc>
          <w:tcPr>
            <w:tcW w:type="dxa" w:w="15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MNIST</w:t>
            </w:r>
          </w:p>
        </w:tc>
        <w:tc>
          <w:tcPr>
            <w:tcW w:type="dxa" w:w="17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FashionMNIST</w:t>
            </w:r>
          </w:p>
        </w:tc>
        <w:tc>
          <w:tcPr>
            <w:tcW w:type="dxa" w:w="15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SVHN</w:t>
            </w:r>
          </w:p>
        </w:tc>
      </w:tr>
      <w:tr>
        <w:tc>
          <w:tcPr>
            <w:tcW w:type="dxa" w:w="48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Tail-to-head row-norm ratio, GeFL-F</w:t>
            </w:r>
          </w:p>
        </w:tc>
        <w:tc>
          <w:tcPr>
            <w:tcW w:type="dxa" w:w="15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0.33</w:t>
            </w:r>
          </w:p>
        </w:tc>
        <w:tc>
          <w:tcPr>
            <w:tcW w:type="dxa" w:w="17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</w:t>
            </w:r>
          </w:p>
        </w:tc>
        <w:tc>
          <w:tcPr>
            <w:tcW w:type="dxa" w:w="15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0.18–0.49</w:t>
            </w:r>
          </w:p>
        </w:tc>
      </w:tr>
      <w:tr>
        <w:tc>
          <w:tcPr>
            <w:tcW w:type="dxa" w:w="48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Same, with non-holders excluded from the average (HWA)</w:t>
            </w:r>
          </w:p>
        </w:tc>
        <w:tc>
          <w:tcPr>
            <w:tcW w:type="dxa" w:w="15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0.80</w:t>
            </w:r>
          </w:p>
        </w:tc>
        <w:tc>
          <w:tcPr>
            <w:tcW w:type="dxa" w:w="17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1.01</w:t>
            </w:r>
          </w:p>
        </w:tc>
        <w:tc>
          <w:tcPr>
            <w:tcW w:type="dxa" w:w="15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0.96–1.05</w:t>
            </w:r>
          </w:p>
        </w:tc>
      </w:tr>
      <w:tr>
        <w:tc>
          <w:tcPr>
            <w:tcW w:type="dxa" w:w="48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Tail fidelity of GeFL-F's generator (referee accuracy on synthetic tail features)</w:t>
            </w:r>
          </w:p>
        </w:tc>
        <w:tc>
          <w:tcPr>
            <w:tcW w:type="dxa" w:w="15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8.8 %</w:t>
            </w:r>
          </w:p>
        </w:tc>
        <w:tc>
          <w:tcPr>
            <w:tcW w:type="dxa" w:w="17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19.6 %</w:t>
            </w:r>
          </w:p>
        </w:tc>
        <w:tc>
          <w:tcPr>
            <w:tcW w:type="dxa" w:w="15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48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GeFL-F balanced accuracy: IID → long tail</w:t>
            </w:r>
          </w:p>
        </w:tc>
        <w:tc>
          <w:tcPr>
            <w:tcW w:type="dxa" w:w="15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96.0 → 75.3</w:t>
            </w:r>
          </w:p>
        </w:tc>
        <w:tc>
          <w:tcPr>
            <w:tcW w:type="dxa" w:w="17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82.8 → 58.5</w:t>
            </w:r>
          </w:p>
        </w:tc>
        <w:tc>
          <w:tcPr>
            <w:tcW w:type="dxa" w:w="15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75.8 → 50.5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t xml:space="preserve">Ratio far below 1 under the long tail, and restored when non-holders are removed from the average.</w:t>
      </w:r>
    </w:p>
    <w:p>
      <w:pPr>
        <w:pStyle w:val="Heading2"/>
        <w:spacing w:after="120" w:before="240"/>
      </w:pPr>
      <w:r>
        <w:t xml:space="preserve">2.4 Why this breaks knowledge transfer</w:t>
      </w:r>
    </w:p>
    <w:p>
      <w:pPr>
        <w:spacing w:after="120" w:line="276"/>
        <w:jc w:val="both"/>
      </w:pPr>
      <w:r>
        <w:t xml:space="preserve">A head trained on fake features is only as good on real data as the fake features are close to real ones (TV distance). For rare classes this gap is large:</w:t>
      </w:r>
    </w:p>
    <w:p>
      <w:pPr>
        <w:spacing w:after="120" w:before="80"/>
        <w:jc w:val="center"/>
      </w:pPr>
      <w:r>
        <w:drawing>
          <wp:inline distT="0" distB="0" distL="0" distR="0">
            <wp:extent cx="3143250" cy="295275"/>
            <wp:effectExtent t="0" r="0" b="0" l="0"/>
            <wp:docPr id="9" name="eq_tv" descr="equation" title="eq_t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676"/>
        </w:rPr>
        <w:t xml:space="preserve">     (3)</w:t>
      </w:r>
    </w:p>
    <w:p>
      <w:pPr>
        <w:pStyle w:val="Heading1"/>
        <w:pageBreakBefore/>
        <w:spacing w:after="200"/>
      </w:pPr>
      <w:r>
        <w:t xml:space="preserve">3. The research journey: every approach we tested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067175"/>
            <wp:effectExtent t="0" r="0" b="0" l="0"/>
            <wp:docPr id="10" name="f06_journey.png" descr="Figure 6. Research map. Green: kept in the final method. Red: tested and dropped on the evidence." title="f06_journ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676"/>
          <w:sz w:val="18"/>
          <w:szCs w:val="18"/>
        </w:rPr>
        <w:t xml:space="preserve">Figure 6. Research map. Green: kept in the final method. Red: tested and dropped on the evidence.</w:t>
      </w:r>
    </w:p>
    <w:p>
      <w:pPr>
        <w:pStyle w:val="Heading2"/>
        <w:spacing w:after="120" w:before="240"/>
      </w:pPr>
      <w:r>
        <w:t xml:space="preserve">3.1 Repairing the generator's aggregation</w:t>
      </w:r>
    </w:p>
    <w:p>
      <w:pPr>
        <w:pStyle w:val="Heading3"/>
        <w:spacing w:after="80" w:before="180"/>
      </w:pPr>
      <w:r>
        <w:t xml:space="preserve">HWA: holder-weighted aggregation (kept)</w:t>
      </w:r>
    </w:p>
    <w:p>
      <w:pPr>
        <w:spacing w:after="120" w:line="276"/>
        <w:jc w:val="both"/>
      </w:pPr>
      <w:r>
        <w:rPr>
          <w:i/>
          <w:iCs/>
        </w:rPr>
        <w:t xml:space="preserve">Where:</w:t>
      </w:r>
      <w:r>
        <w:t xml:space="preserve"> server, Stage II, class rows only. </w:t>
      </w:r>
      <w:r>
        <w:rPr>
          <w:i/>
          <w:iCs/>
        </w:rPr>
        <w:t xml:space="preserve">How:</w:t>
      </w:r>
      <w:r>
        <w:t xml:space="preserve"> weight each client's row by its effective sample count (Cui et al., CVPR 2019); non-holders get weight 0:</w:t>
      </w:r>
    </w:p>
    <w:p>
      <w:pPr>
        <w:spacing w:after="120" w:before="80"/>
        <w:jc w:val="center"/>
      </w:pPr>
      <w:r>
        <w:drawing>
          <wp:inline distT="0" distB="0" distL="0" distR="0">
            <wp:extent cx="3333750" cy="619125"/>
            <wp:effectExtent t="0" r="0" b="0" l="0"/>
            <wp:docPr id="11" name="eq_hwa" descr="equation" title="eq_h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676"/>
        </w:rPr>
        <w:t xml:space="preserve">     (4)</w:t>
      </w:r>
    </w:p>
    <w:p>
      <w:pPr>
        <w:spacing w:after="120" w:line="276"/>
        <w:jc w:val="both"/>
      </w:pPr>
      <w:r>
        <w:rPr>
          <w:i/>
          <w:iCs/>
        </w:rPr>
        <w:t xml:space="preserve">Result:</w:t>
      </w:r>
      <w:r>
        <w:t xml:space="preserve"> +9.0 / +11.2 / +3.4 / +6.0 (MNIST / FMNIST / CIFAR-10 / SVHN, long tail); row ratio back to 0.80–1.05. Later replaced in Ours-A by the mean anchor, which has no class rows at all.</w:t>
      </w:r>
    </w:p>
    <w:p>
      <w:pPr>
        <w:pStyle w:val="Heading3"/>
        <w:spacing w:after="80" w:before="180"/>
      </w:pPr>
      <w:r>
        <w:t xml:space="preserve">LCD: lazy conditioning decay (dropped)</w:t>
      </w:r>
    </w:p>
    <w:p>
      <w:pPr>
        <w:spacing w:after="120" w:line="276"/>
        <w:jc w:val="both"/>
      </w:pPr>
      <w:r>
        <w:rPr>
          <w:i/>
          <w:iCs/>
        </w:rPr>
        <w:t xml:space="preserve">Where:</w:t>
      </w:r>
      <w:r>
        <w:t xml:space="preserve"> clients, Stage II. </w:t>
      </w:r>
      <w:r>
        <w:rPr>
          <w:i/>
          <w:iCs/>
        </w:rPr>
        <w:t xml:space="preserve">How:</w:t>
      </w:r>
      <w:r>
        <w:t xml:space="preserve"> update and decay only rows of classes present in the batch. </w:t>
      </w:r>
      <w:r>
        <w:rPr>
          <w:i/>
          <w:iCs/>
        </w:rPr>
        <w:t xml:space="preserve">Result:</w:t>
      </w:r>
      <w:r>
        <w:t xml:space="preserve"> 78.6 vs 79.1 for HWA; adds nothing.</w:t>
      </w:r>
    </w:p>
    <w:p>
      <w:pPr>
        <w:pStyle w:val="Heading2"/>
        <w:spacing w:after="120" w:before="240"/>
      </w:pPr>
      <w:r>
        <w:t xml:space="preserve">3.2 Training the heads</w:t>
      </w:r>
    </w:p>
    <w:p>
      <w:pPr>
        <w:pStyle w:val="Heading3"/>
        <w:spacing w:after="80" w:before="180"/>
      </w:pPr>
      <w:r>
        <w:t xml:space="preserve">LA: logit adjustment with the client's own prior (kept; established technique)</w:t>
      </w:r>
    </w:p>
    <w:p>
      <w:pPr>
        <w:spacing w:after="120" w:line="276"/>
        <w:jc w:val="both"/>
      </w:pPr>
      <w:r>
        <w:rPr>
          <w:i/>
          <w:iCs/>
        </w:rPr>
        <w:t xml:space="preserve">Where:</w:t>
      </w:r>
      <w:r>
        <w:t xml:space="preserve"> each client, real-data phase. </w:t>
      </w:r>
      <w:r>
        <w:rPr>
          <w:i/>
          <w:iCs/>
        </w:rPr>
        <w:t xml:space="preserve">How:</w:t>
      </w:r>
      <w:r>
        <w:t xml:space="preserve"> Menon et al. (ICLR 2021) with the client's own private prior π_k:</w:t>
      </w:r>
    </w:p>
    <w:p>
      <w:pPr>
        <w:spacing w:after="120" w:before="80"/>
        <w:jc w:val="center"/>
      </w:pPr>
      <w:r>
        <w:drawing>
          <wp:inline distT="0" distB="0" distL="0" distR="0">
            <wp:extent cx="2466975" cy="533400"/>
            <wp:effectExtent t="0" r="0" b="0" l="0"/>
            <wp:docPr id="12" name="eq_la" descr="equation" title="eq_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676"/>
        </w:rPr>
        <w:t xml:space="preserve">     (5)</w:t>
      </w:r>
    </w:p>
    <w:p>
      <w:pPr>
        <w:spacing w:after="120" w:line="276"/>
        <w:jc w:val="both"/>
      </w:pPr>
      <w:r>
        <w:rPr>
          <w:i/>
          <w:iCs/>
        </w:rPr>
        <w:t xml:space="preserve">Result:</w:t>
      </w:r>
      <w:r>
        <w:t xml:space="preserve"> +3.6 to +6.3 on all four datasets. Needed because the 5 real epochs pull each head back to its own skew. No effect in IID.</w:t>
      </w:r>
    </w:p>
    <w:p>
      <w:pPr>
        <w:pStyle w:val="Heading3"/>
        <w:spacing w:after="80" w:before="180"/>
      </w:pPr>
      <w:r>
        <w:t xml:space="preserve">CSL: consensus soft labels on synthetic features (kept)</w:t>
      </w:r>
    </w:p>
    <w:p>
      <w:pPr>
        <w:spacing w:after="120" w:line="276"/>
        <w:jc w:val="both"/>
      </w:pPr>
      <w:r>
        <w:rPr>
          <w:i/>
          <w:iCs/>
        </w:rPr>
        <w:t xml:space="preserve">Where:</w:t>
      </w:r>
      <w:r>
        <w:t xml:space="preserve"> synthetic phase; clients send only prediction sums on a shared fake pool. </w:t>
      </w:r>
      <w:r>
        <w:rPr>
          <w:i/>
          <w:iCs/>
        </w:rPr>
        <w:t xml:space="preserve">How:</w:t>
      </w:r>
      <w:r>
        <w:t xml:space="preserve"> target = mix of the label and the average prediction of all architectures (FedMD, FedDF):</w:t>
      </w:r>
    </w:p>
    <w:p>
      <w:pPr>
        <w:spacing w:after="120" w:before="80"/>
        <w:jc w:val="center"/>
      </w:pPr>
      <w:r>
        <w:drawing>
          <wp:inline distT="0" distB="0" distL="0" distR="0">
            <wp:extent cx="4095750" cy="581025"/>
            <wp:effectExtent t="0" r="0" b="0" l="0"/>
            <wp:docPr id="13" name="eq_csl" descr="equation" title="eq_cs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676"/>
        </w:rPr>
        <w:t xml:space="preserve">     (6)</w:t>
      </w:r>
    </w:p>
    <w:p>
      <w:pPr>
        <w:spacing w:after="120" w:line="276"/>
        <w:jc w:val="both"/>
      </w:pPr>
      <w:r>
        <w:rPr>
          <w:i/>
          <w:iCs/>
        </w:rPr>
        <w:t xml:space="preserve">Result:</w:t>
      </w:r>
      <w:r>
        <w:t xml:space="preserve"> +2.5 MNIST long tail; +0.5 to +0.8 IID. β = 0.5 better than β = 1.</w:t>
      </w:r>
    </w:p>
    <w:p>
      <w:pPr>
        <w:pStyle w:val="Heading3"/>
        <w:spacing w:after="80" w:before="180"/>
      </w:pPr>
      <w:r>
        <w:t xml:space="preserve">T_s = 10: a larger synthetic budget (kept)</w:t>
      </w:r>
    </w:p>
    <w:p>
      <w:pPr>
        <w:spacing w:after="120" w:line="276"/>
        <w:jc w:val="both"/>
      </w:pPr>
      <w:r>
        <w:rPr>
          <w:i/>
          <w:iCs/>
        </w:rPr>
        <w:t xml:space="preserve">Why (Proposition 5):</w:t>
      </w:r>
      <w:r>
        <w:t xml:space="preserve"> more fake training helps only when the generator is faithful (low label bias b).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42900"/>
            <wp:effectExtent t="0" r="0" b="0" l="0"/>
            <wp:docPr id="14" name="eq_budget" descr="equation" title="eq_bud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676"/>
        </w:rPr>
        <w:t xml:space="preserve">     (Proposition 5)</w:t>
      </w:r>
    </w:p>
    <w:p>
      <w:pPr>
        <w:spacing w:after="120" w:line="276"/>
        <w:jc w:val="both"/>
      </w:pPr>
      <w:r>
        <w:rPr>
          <w:i/>
          <w:iCs/>
        </w:rPr>
        <w:t xml:space="preserve">Result:</w:t>
      </w:r>
      <w:r>
        <w:t xml:space="preserve"> with the anchored generator +1.7 (MNIST long tail) and +3.9 at K = 100; with the original generator −0.05, as predicted.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2950"/>
        <w:gridCol w:w="2360"/>
        <w:gridCol w:w="2951"/>
      </w:tblGrid>
      <w:tr>
        <w:trPr>
          <w:tblHeader/>
        </w:trPr>
        <w:tc>
          <w:tcPr>
            <w:tcW w:type="dxa" w:w="13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Dropped head-side idea</w:t>
            </w:r>
          </w:p>
        </w:tc>
        <w:tc>
          <w:tcPr>
            <w:tcW w:type="dxa" w:w="2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Placement and model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9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failed</w:t>
            </w:r>
          </w:p>
        </w:tc>
      </w:tr>
      <w:tr>
        <w:tc>
          <w:tcPr>
            <w:tcW w:type="dxa" w:w="13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Bayesian CSL</w:t>
            </w:r>
          </w:p>
        </w:tc>
        <w:tc>
          <w:tcPr>
            <w:tcW w:type="dxa" w:w="2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Replace the fixed mixture by a Bayes posterior under symmetric generator noise, fidelity ρ̂ estimated from ensemble agreement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83.16 vs 84.22 (FMNIST IID, p = 0.004); 87.3 vs 90.5 (MNIST LT)</w:t>
            </w:r>
          </w:p>
        </w:tc>
        <w:tc>
          <w:tcPr>
            <w:tcW w:type="dxa" w:w="29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ρ̂ is circular: heads trained on the generator agree with it (ρ̂ → 0.999), so the target collapses to the hard label</w:t>
            </w:r>
          </w:p>
        </w:tc>
      </w:tr>
      <w:tr>
        <w:tc>
          <w:tcPr>
            <w:tcW w:type="dxa" w:w="13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CSLM</w:t>
            </w:r>
          </w:p>
        </w:tc>
        <w:tc>
          <w:tcPr>
            <w:tcW w:type="dxa" w:w="2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Interleave consensus-labelled synthetic features into every real batch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SVHN LT 49.9 vs 62.4</w:t>
            </w:r>
          </w:p>
        </w:tc>
        <w:tc>
          <w:tcPr>
            <w:tcW w:type="dxa" w:w="29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Mixes the client-prior logit adjustment with balanced synthetic labels in one batch</w:t>
            </w:r>
          </w:p>
        </w:tc>
      </w:tr>
      <w:tr>
        <w:tc>
          <w:tcPr>
            <w:tcW w:type="dxa" w:w="13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PCM</w:t>
            </w:r>
          </w:p>
        </w:tc>
        <w:tc>
          <w:tcPr>
            <w:tcW w:type="dxa" w:w="2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Fill each real batch's missing classes with synthetic samples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FMNIST LT 59.6 vs 65.2 (with LA)</w:t>
            </w:r>
          </w:p>
        </w:tc>
        <w:tc>
          <w:tcPr>
            <w:tcW w:type="dxa" w:w="29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Needs faithful tail features, which do not exist before the generator is fixed</w:t>
            </w:r>
          </w:p>
        </w:tc>
      </w:tr>
      <w:tr>
        <w:tc>
          <w:tcPr>
            <w:tcW w:type="dxa" w:w="13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RSA</w:t>
            </w:r>
          </w:p>
        </w:tc>
        <w:tc>
          <w:tcPr>
            <w:tcW w:type="dxa" w:w="2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Align head embeddings of synthetic and real features on held classes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synthetic–real gap grew on unheld classes</w:t>
            </w:r>
          </w:p>
        </w:tc>
        <w:tc>
          <w:tcPr>
            <w:tcW w:type="dxa" w:w="29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Fits the alignment to the held classes only</w:t>
            </w:r>
          </w:p>
        </w:tc>
      </w:tr>
      <w:tr>
        <w:tc>
          <w:tcPr>
            <w:tcW w:type="dxa" w:w="13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VCT / MixUp</w:t>
            </w:r>
          </w:p>
        </w:tc>
        <w:tc>
          <w:tcPr>
            <w:tcW w:type="dxa" w:w="2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Mix real features with consensus-labelled synthetic partners (VCT) or with each other (MixUp)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CIFAR-10 IID: VCT 60.29, MixUp 59.98, neither 60.93; LT tail recall +10 with VCT</w:t>
            </w:r>
          </w:p>
        </w:tc>
        <w:tc>
          <w:tcPr>
            <w:tcW w:type="dxa" w:w="29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Feature-space mixing does not regularise past the frozen extractor (Part 5.4)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3.3 Server-side corrections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7"/>
        <w:gridCol w:w="3147"/>
        <w:gridCol w:w="2360"/>
        <w:gridCol w:w="2164"/>
      </w:tblGrid>
      <w:tr>
        <w:trPr>
          <w:tblHeader/>
        </w:trPr>
        <w:tc>
          <w:tcPr>
            <w:tcW w:type="dxa" w:w="19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31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Placement and model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1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9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SED: server-side ensemble distillation</w:t>
            </w:r>
          </w:p>
        </w:tc>
        <w:tc>
          <w:tcPr>
            <w:tcW w:type="dxa" w:w="31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Server distils the heads' ensemble into each head on fresh synthetic features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FMNIST IID 81.69 → 80.96; LT 70.65 → 71.30</w:t>
            </w:r>
          </w:p>
        </w:tc>
        <w:tc>
          <w:tcPr>
            <w:tcW w:type="dxa" w:w="21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Dropped: bounded by equation 3; the ensemble's knowledge reaches heads only as faithfully as the generator allows</w:t>
            </w:r>
          </w:p>
        </w:tc>
      </w:tr>
      <w:tr>
        <w:tc>
          <w:tcPr>
            <w:tcW w:type="dxa" w:w="19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BCR: balanced classifier re-training</w:t>
            </w:r>
          </w:p>
        </w:tc>
        <w:tc>
          <w:tcPr>
            <w:tcW w:type="dxa" w:w="31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Server re-fits each head's last layer on balanced synthetic features (CReFF-like)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62.0 vs 65.2 for LA (FMNIST LT, quick)</w:t>
            </w:r>
          </w:p>
        </w:tc>
        <w:tc>
          <w:tcPr>
            <w:tcW w:type="dxa" w:w="21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Dropped: weaker than LA</w:t>
            </w:r>
          </w:p>
        </w:tc>
      </w:tr>
      <w:tr>
        <w:tc>
          <w:tcPr>
            <w:tcW w:type="dxa" w:w="19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GF: gradient filtering</w:t>
            </w:r>
          </w:p>
        </w:tc>
        <w:tc>
          <w:tcPr>
            <w:tcW w:type="dxa" w:w="31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Filter conflicting synthetic gradients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58.5 vs GeFL-F 58.8</w:t>
            </w:r>
          </w:p>
        </w:tc>
        <w:tc>
          <w:tcPr>
            <w:tcW w:type="dxa" w:w="21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Dropped: no effect</w:t>
            </w:r>
          </w:p>
        </w:tc>
      </w:tr>
      <w:tr>
        <w:tc>
          <w:tcPr>
            <w:tcW w:type="dxa" w:w="19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BBC: balanced bias calibration (Saerens et al., 2002)</w:t>
            </w:r>
          </w:p>
        </w:tc>
        <w:tc>
          <w:tcPr>
            <w:tcW w:type="dxa" w:w="31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Fit C logit offsets per head on balanced fake features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+0.35 to +1.4 under the long tail (MNIST/FMNIST)</w:t>
            </w:r>
          </w:p>
        </w:tc>
        <w:tc>
          <w:tcPr>
            <w:tcW w:type="dxa" w:w="216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Future scope: not yet run on all datasets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3.4 Alternative generators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2"/>
        <w:gridCol w:w="2754"/>
        <w:gridCol w:w="2655"/>
        <w:gridCol w:w="2557"/>
      </w:tblGrid>
      <w:tr>
        <w:trPr>
          <w:tblHeader/>
        </w:trPr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Generator</w:t>
            </w:r>
          </w:p>
        </w:tc>
        <w:tc>
          <w:tcPr>
            <w:tcW w:type="dxa" w:w="27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Placement and model</w:t>
            </w:r>
          </w:p>
        </w:tc>
        <w:tc>
          <w:tcPr>
            <w:tcW w:type="dxa" w:w="26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5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Verdict and reason</w:t>
            </w:r>
          </w:p>
        </w:tc>
      </w:tr>
      <w:tr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FSG: Gaussian from exact statistics</w:t>
            </w:r>
          </w:p>
        </w:tc>
        <w:tc>
          <w:tcPr>
            <w:tcW w:type="dxa" w:w="27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Server builds N(m_c, Σ_pooled) from secure-aggregated sums; no generator training</w:t>
            </w:r>
          </w:p>
        </w:tc>
        <w:tc>
          <w:tcPr>
            <w:tcW w:type="dxa" w:w="26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MNIST LT 87.0; CIFAR-10 LT 44.2; SVHN LT 44.2 &lt; GeFL-F 50.5</w:t>
            </w:r>
          </w:p>
        </w:tc>
        <w:tc>
          <w:tcPr>
            <w:tcW w:type="dxa" w:w="25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Dropped: its Bayes head is LDA (eq. 8), which reaches only 21 % on SVHN pixels</w:t>
            </w:r>
          </w:p>
        </w:tc>
      </w:tr>
      <w:tr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Hybrid CVAE / Gaussian</w:t>
            </w:r>
          </w:p>
        </w:tc>
        <w:tc>
          <w:tcPr>
            <w:tcW w:type="dxa" w:w="27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Mixture of the two generators</w:t>
            </w:r>
          </w:p>
        </w:tc>
        <w:tc>
          <w:tcPr>
            <w:tcW w:type="dxa" w:w="26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87.1 vs 87.9 (full schedule; the quick pass had favoured it)</w:t>
            </w:r>
          </w:p>
        </w:tc>
        <w:tc>
          <w:tcPr>
            <w:tcW w:type="dxa" w:w="25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Dropped</w:t>
            </w:r>
          </w:p>
        </w:tc>
      </w:tr>
      <w:tr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KME-Gen</w:t>
            </w:r>
          </w:p>
        </w:tc>
        <w:tc>
          <w:tcPr>
            <w:tcW w:type="dxa" w:w="27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Generator trained only at the server, by MMD to exact kernel embeddings</w:t>
            </w:r>
          </w:p>
        </w:tc>
        <w:tc>
          <w:tcPr>
            <w:tcW w:type="dxa" w:w="26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MNIST 89.9, FMNIST 75.1 (+15 over GeFL-F) at 1/3000 of the communication</w:t>
            </w:r>
          </w:p>
        </w:tc>
        <w:tc>
          <w:tcPr>
            <w:tcW w:type="dxa" w:w="25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Dropped as main method; noted as an efficient variant</w:t>
            </w:r>
          </w:p>
        </w:tc>
      </w:tr>
      <w:tr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DDPM-F (paper's diffusion generator)</w:t>
            </w:r>
          </w:p>
        </w:tc>
        <w:tc>
          <w:tcPr>
            <w:tcW w:type="dxa" w:w="27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Our components on the paper's best feature generator</w:t>
            </w:r>
          </w:p>
        </w:tc>
        <w:tc>
          <w:tcPr>
            <w:tcW w:type="dxa" w:w="26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SVHN IID 70.37 vs DDPM GeFL-F 69.77 (p = 0.10); far below 76–77 with CVAE</w:t>
            </w:r>
          </w:p>
        </w:tc>
        <w:tc>
          <w:tcPr>
            <w:tcW w:type="dxa" w:w="25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Dropped: slow (hours per seed) and weaker here</w:t>
            </w:r>
          </w:p>
        </w:tc>
      </w:tr>
      <w:tr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ZP: ex-post latent prior</w:t>
            </w:r>
          </w:p>
        </w:tc>
        <w:tc>
          <w:tcPr>
            <w:tcW w:type="dxa" w:w="27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Fit z ~ N(m, S) to the encoder means (exact sums)</w:t>
            </w:r>
          </w:p>
        </w:tc>
        <w:tc>
          <w:tcPr>
            <w:tcW w:type="dxa" w:w="26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PC + ZP 91.69 vs PC + MC 92.31</w:t>
            </w:r>
          </w:p>
        </w:tc>
        <w:tc>
          <w:tcPr>
            <w:tcW w:type="dxa" w:w="25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Dropped: MC fixes the same issue better</w:t>
            </w:r>
          </w:p>
        </w:tc>
      </w:tr>
      <w:tr>
        <w:tc>
          <w:tcPr>
            <w:tcW w:type="dxa" w:w="16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PCR: class rows + mean anchor</w:t>
            </w:r>
          </w:p>
        </w:tc>
        <w:tc>
          <w:tcPr>
            <w:tcW w:type="dxa" w:w="27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Both conditioning signals in one decoder</w:t>
            </w:r>
          </w:p>
        </w:tc>
        <w:tc>
          <w:tcPr>
            <w:tcW w:type="dxa" w:w="26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Ties Ours-A on MNIST/FMNIST; SVHN LT 60.9 vs 65.6 for rows alone</w:t>
            </w:r>
          </w:p>
        </w:tc>
        <w:tc>
          <w:tcPr>
            <w:tcW w:type="dxa" w:w="25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Dropped: the anchor under-disperses samples where means are uninformative</w:t>
            </w:r>
          </w:p>
        </w:tc>
      </w:tr>
    </w:tbl>
    <w:p>
      <w:pPr>
        <w:spacing w:after="160"/>
      </w:pPr>
    </w:p>
    <w:p>
      <w:pPr>
        <w:spacing w:after="120" w:before="80"/>
        <w:jc w:val="center"/>
      </w:pPr>
      <w:r>
        <w:drawing>
          <wp:inline distT="0" distB="0" distL="0" distR="0">
            <wp:extent cx="5715000" cy="342900"/>
            <wp:effectExtent t="0" r="0" b="0" l="0"/>
            <wp:docPr id="15" name="eq_lda" descr="equation" title="eq_l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676"/>
        </w:rPr>
        <w:t xml:space="preserve">     (8)</w:t>
      </w:r>
    </w:p>
    <w:p>
      <w:pPr>
        <w:pStyle w:val="Heading2"/>
        <w:spacing w:after="120" w:before="240"/>
      </w:pPr>
      <w:r>
        <w:t xml:space="preserve">3.5 Moment correction</w:t>
      </w:r>
    </w:p>
    <w:p>
      <w:pPr>
        <w:spacing w:after="120" w:line="276"/>
        <w:jc w:val="both"/>
      </w:pPr>
      <w:r>
        <w:rPr>
          <w:b/>
          <w:bCs/>
        </w:rPr>
        <w:t xml:space="preserve">MC (kept in Ours-A).</w:t>
      </w:r>
      <w:r>
        <w:t xml:space="preserve"> Moves each fake class onto its exact mean and spread with the smallest change (Proposition 3): +1.6 MNIST, +1.6 FMNIST over the plain anchored generator.</w:t>
      </w:r>
    </w:p>
    <w:p>
      <w:pPr>
        <w:spacing w:after="120" w:line="276"/>
        <w:jc w:val="both"/>
      </w:pPr>
      <w:r>
        <w:rPr>
          <w:b/>
          <w:bCs/>
        </w:rPr>
        <w:t xml:space="preserve">Covariance version (MC-S / MC-B): future scope.</w:t>
      </w:r>
      <w:r>
        <w:t xml:space="preserve"> Helps FMNIST and SVHN but not yet complete on every dataset (Part 7).</w:t>
      </w:r>
    </w:p>
    <w:p>
      <w:pPr>
        <w:pStyle w:val="Heading1"/>
        <w:pageBreakBefore/>
        <w:spacing w:after="200"/>
      </w:pPr>
      <w:r>
        <w:t xml:space="preserve">4. The final architecture: Ours-A</w:t>
      </w:r>
    </w:p>
    <w:p>
      <w:pPr>
        <w:pStyle w:val="Heading2"/>
        <w:spacing w:after="120" w:before="240"/>
      </w:pPr>
      <w:r>
        <w:t xml:space="preserve">4.1 Where each part comes from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815"/>
        <w:gridCol w:w="3413"/>
      </w:tblGrid>
      <w:tr>
        <w:trPr>
          <w:tblHeader/>
        </w:trPr>
        <w:tc>
          <w:tcPr>
            <w:tcW w:type="dxa" w:w="2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 of Ours-A</w:t>
            </w:r>
          </w:p>
        </w:tc>
        <w:tc>
          <w:tcPr>
            <w:tcW w:type="dxa" w:w="38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(research paper)</w:t>
            </w:r>
          </w:p>
        </w:tc>
        <w:tc>
          <w:tcPr>
            <w:tcW w:type="dxa" w:w="34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we use from it</w:t>
            </w:r>
          </w:p>
        </w:tc>
      </w:tr>
      <w:tr>
        <w:tc>
          <w:tcPr>
            <w:tcW w:type="dxa" w:w="2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Class sums sent safely</w:t>
            </w:r>
          </w:p>
        </w:tc>
        <w:tc>
          <w:tcPr>
            <w:tcW w:type="dxa" w:w="38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Bonawitz et al., Practical Secure Aggregation, ACM CCS 2017</w:t>
            </w:r>
          </w:p>
        </w:tc>
        <w:tc>
          <w:tcPr>
            <w:tcW w:type="dxa" w:w="34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server gets only the total over clients</w:t>
            </w:r>
          </w:p>
        </w:tc>
      </w:tr>
      <w:tr>
        <w:tc>
          <w:tcPr>
            <w:tcW w:type="dxa" w:w="2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Class mean as class identity</w:t>
            </w:r>
          </w:p>
        </w:tc>
        <w:tc>
          <w:tcPr>
            <w:tcW w:type="dxa" w:w="38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Tan et al., FedProto, AAAI 2022</w:t>
            </w:r>
          </w:p>
        </w:tc>
        <w:tc>
          <w:tcPr>
            <w:tcW w:type="dxa" w:w="34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class prototypes (means) as shared knowledge</w:t>
            </w:r>
          </w:p>
        </w:tc>
      </w:tr>
      <w:tr>
        <w:tc>
          <w:tcPr>
            <w:tcW w:type="dxa" w:w="2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Moment fix (MC)</w:t>
            </w:r>
          </w:p>
        </w:tc>
        <w:tc>
          <w:tcPr>
            <w:tcW w:type="dxa" w:w="38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Optimal transport, scalar case (Olkin and Pukelsheim 1982)</w:t>
            </w:r>
          </w:p>
        </w:tc>
        <w:tc>
          <w:tcPr>
            <w:tcW w:type="dxa" w:w="34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smallest change that gives the exact mean and spread</w:t>
            </w:r>
          </w:p>
        </w:tc>
      </w:tr>
      <w:tr>
        <w:tc>
          <w:tcPr>
            <w:tcW w:type="dxa" w:w="2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Fingerprint selection (KH)</w:t>
            </w:r>
          </w:p>
        </w:tc>
        <w:tc>
          <w:tcPr>
            <w:tcW w:type="dxa" w:w="38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Chen, Welling and Smola, Kernel Herding, UAI 2010; Gretton et al., MMD, JMLR 2012</w:t>
            </w:r>
          </w:p>
        </w:tc>
        <w:tc>
          <w:tcPr>
            <w:tcW w:type="dxa" w:w="34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pick samples whose average fingerprint matches the class</w:t>
            </w:r>
          </w:p>
        </w:tc>
      </w:tr>
      <w:tr>
        <w:tc>
          <w:tcPr>
            <w:tcW w:type="dxa" w:w="2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Client-prior loss (LA)</w:t>
            </w:r>
          </w:p>
        </w:tc>
        <w:tc>
          <w:tcPr>
            <w:tcW w:type="dxa" w:w="38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Menon et al., Logit Adjustment, ICLR 2021; Zhang et al., FedLC, ICML 2022</w:t>
            </w:r>
          </w:p>
        </w:tc>
        <w:tc>
          <w:tcPr>
            <w:tcW w:type="dxa" w:w="34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loss that undoes a client's own class skew</w:t>
            </w:r>
          </w:p>
        </w:tc>
      </w:tr>
      <w:tr>
        <w:tc>
          <w:tcPr>
            <w:tcW w:type="dxa" w:w="2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Consensus labels (CSL)</w:t>
            </w:r>
          </w:p>
        </w:tc>
        <w:tc>
          <w:tcPr>
            <w:tcW w:type="dxa" w:w="38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Li and Wang, FedMD, 2019; Lin et al., FedDF, NeurIPS 2020</w:t>
            </w:r>
          </w:p>
        </w:tc>
        <w:tc>
          <w:tcPr>
            <w:tcW w:type="dxa" w:w="34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average prediction of different models as soft label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C4E9A" w:sz="12"/>
              <w:left w:val="single" w:color="BFC7D5" w:sz="4"/>
              <w:bottom w:val="single" w:color="BFC7D5" w:sz="4"/>
              <w:right w:val="single" w:color="BFC7D5" w:sz="4"/>
            </w:tcBorders>
            <w:shd w:fill="EEF2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C4E9A"/>
              </w:rPr>
              <w:t xml:space="preserve">The single idea</w:t>
            </w:r>
          </w:p>
          <w:p>
            <w:pPr>
              <w:spacing w:after="60"/>
            </w:pPr>
            <w:r>
              <w:t xml:space="preserve">FedAvg </w:t>
            </w:r>
            <w:r>
              <w:rPr>
                <w:i/>
                <w:iCs/>
              </w:rPr>
              <w:t xml:space="preserve">estimates</w:t>
            </w:r>
            <w:r>
              <w:t xml:space="preserve"> class information and, under a long tail, the estimate collapses.</w:t>
            </w:r>
          </w:p>
          <w:p>
            <w:pPr>
              <w:spacing w:after="60"/>
            </w:pPr>
            <w:r>
              <w:t xml:space="preserve">Secure aggregation </w:t>
            </w:r>
            <w:r>
              <w:rPr>
                <w:i/>
                <w:iCs/>
              </w:rPr>
              <w:t xml:space="preserve">adds up</w:t>
            </w:r>
            <w:r>
              <w:t xml:space="preserve"> class sums exactly. Ours-A takes class information from these exact sums.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4.2 Architecture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019550"/>
            <wp:effectExtent t="0" r="0" b="0" l="0"/>
            <wp:docPr id="16" name="f07_esa.png" descr="Figure 7. Ours-A inside GeFL-F. Blue: what changes. Everything new comes from class sums added up by secure aggregation." title="f07_e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676"/>
          <w:sz w:val="18"/>
          <w:szCs w:val="18"/>
        </w:rPr>
        <w:t xml:space="preserve">Figure 7. Ours-A inside GeFL-F. Blue: what changes. Everything new comes from class sums added up by secure aggregation.</w:t>
      </w:r>
    </w:p>
    <w:p>
      <w:pPr>
        <w:pStyle w:val="Heading2"/>
        <w:spacing w:after="120" w:before="240"/>
      </w:pPr>
      <w:r>
        <w:t xml:space="preserve">4.3 Mathematical model</w:t>
      </w:r>
    </w:p>
    <w:p>
      <w:pPr>
        <w:pStyle w:val="Heading3"/>
        <w:spacing w:after="80" w:before="180"/>
      </w:pPr>
      <w:r>
        <w:t xml:space="preserve">Step 1: class statistics (one upload per client, after Stage I)</w:t>
      </w:r>
    </w:p>
    <w:p>
      <w:pPr>
        <w:spacing w:after="120" w:line="276"/>
        <w:jc w:val="both"/>
      </w:pPr>
      <w:r>
        <w:t xml:space="preserve">Each client sends per-class counts, feature sums, sums of squared norms and sums of 6,144 random features. The server adds them:</w:t>
      </w:r>
    </w:p>
    <w:p>
      <w:pPr>
        <w:spacing w:after="120" w:before="80"/>
        <w:jc w:val="center"/>
      </w:pPr>
      <w:r>
        <w:drawing>
          <wp:inline distT="0" distB="0" distL="0" distR="0">
            <wp:extent cx="2771775" cy="352425"/>
            <wp:effectExtent t="0" r="0" b="0" l="0"/>
            <wp:docPr id="17" name="eq_stats" descr="equation" title="eq_st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676"/>
        </w:rPr>
        <w:t xml:space="preserve">     (9)</w:t>
      </w:r>
    </w:p>
    <w:p>
      <w:pPr>
        <w:pStyle w:val="Heading3"/>
        <w:spacing w:after="80" w:before="180"/>
      </w:pPr>
      <w:r>
        <w:t xml:space="preserve">Step 2: class identity from the exact class mean (PC-VAE)</w:t>
      </w:r>
    </w:p>
    <w:p>
      <w:pPr>
        <w:spacing w:after="120" w:line="276"/>
        <w:jc w:val="both"/>
      </w:pPr>
      <w:r>
        <w:t xml:space="preserve">The generator learns only the difference from the class mean; it has no class-specific weight that FedAvg could shrink:</w:t>
      </w:r>
    </w:p>
    <w:p>
      <w:pPr>
        <w:spacing w:after="120" w:before="80"/>
        <w:jc w:val="center"/>
      </w:pPr>
      <w:r>
        <w:drawing>
          <wp:inline distT="0" distB="0" distL="0" distR="0">
            <wp:extent cx="3467100" cy="333375"/>
            <wp:effectExtent t="0" r="0" b="0" l="0"/>
            <wp:docPr id="18" name="eq_pc" descr="equation" title="eq_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676"/>
        </w:rPr>
        <w:t xml:space="preserve">     (10)</w:t>
      </w:r>
    </w:p>
    <w:p>
      <w:pPr>
        <w:pStyle w:val="Heading3"/>
        <w:spacing w:after="80" w:before="180"/>
      </w:pPr>
      <w:r>
        <w:t xml:space="preserve">Step 3: moment fix (MC)</w:t>
      </w:r>
    </w:p>
    <w:p>
      <w:pPr>
        <w:spacing w:after="120" w:line="276"/>
        <w:jc w:val="both"/>
      </w:pPr>
      <w:r>
        <w:rPr>
          <w:b/>
          <w:bCs/>
        </w:rPr>
        <w:t xml:space="preserve">Proposition 3.</w:t>
      </w:r>
      <w:r>
        <w:t xml:space="preserve"> Of all maps that give class c its exact mean and spread, this one changes the samples the least: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81000"/>
            <wp:effectExtent t="0" r="0" b="0" l="0"/>
            <wp:docPr id="19" name="eq_mc" descr="equation" title="eq_m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676"/>
        </w:rPr>
        <w:t xml:space="preserve">     (11)</w:t>
      </w:r>
    </w:p>
    <w:p>
      <w:pPr>
        <w:pStyle w:val="Heading3"/>
        <w:spacing w:after="80" w:before="180"/>
      </w:pPr>
      <w:r>
        <w:t xml:space="preserve">Step 4: fingerprint selection (kernel herding)</w:t>
      </w:r>
    </w:p>
    <w:p>
      <w:pPr>
        <w:spacing w:after="120" w:line="276"/>
        <w:jc w:val="both"/>
      </w:pPr>
      <w:r>
        <w:t xml:space="preserve">Draw 4n candidates per class, keep the n whose average fingerprint best matches μ_c. </w:t>
      </w:r>
      <w:r>
        <w:rPr>
          <w:b/>
          <w:bCs/>
        </w:rPr>
        <w:t xml:space="preserve">Lemma 1:</w:t>
      </w:r>
      <w:r>
        <w:t xml:space="preserve"> the head's real-vs-fake error gap is bounded by this mismatch (MMD):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90525"/>
            <wp:effectExtent t="0" r="0" b="0" l="0"/>
            <wp:docPr id="20" name="eq_kh" descr="equation" title="eq_k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676"/>
        </w:rPr>
        <w:t xml:space="preserve">     (12)</w:t>
      </w:r>
    </w:p>
    <w:p>
      <w:pPr>
        <w:pStyle w:val="Heading3"/>
        <w:spacing w:after="80" w:before="180"/>
      </w:pPr>
      <w:r>
        <w:t xml:space="preserve">Step 5: heads</w:t>
      </w:r>
    </w:p>
    <w:p>
      <w:pPr>
        <w:spacing w:after="120" w:line="276"/>
        <w:jc w:val="both"/>
      </w:pPr>
      <w:r>
        <w:t xml:space="preserve">10 epochs on the corrected fake features with consensus labels (eq. 6), then 5 epochs on real features with the client-prior loss (eq. 5).</w:t>
      </w:r>
    </w:p>
    <w:p>
      <w:pPr>
        <w:pStyle w:val="Heading2"/>
        <w:spacing w:after="120" w:before="240"/>
      </w:pPr>
      <w:r>
        <w:t xml:space="preserve">4.4 What Ours-A adds to communication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2610"/>
        <w:gridCol w:w="1606"/>
        <w:gridCol w:w="1808"/>
      </w:tblGrid>
      <w:tr>
        <w:trPr>
          <w:tblHeader/>
        </w:trPr>
        <w:tc>
          <w:tcPr>
            <w:tcW w:type="dxa" w:w="36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26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6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18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Protection</w:t>
            </w:r>
          </w:p>
        </w:tc>
      </w:tr>
      <w:tr>
        <w:tc>
          <w:tcPr>
            <w:tcW w:type="dxa" w:w="36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Class counts, sums of h and of ‖h‖², sums of random features</w:t>
            </w:r>
          </w:p>
        </w:tc>
        <w:tc>
          <w:tcPr>
            <w:tcW w:type="dxa" w:w="26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0.3 MB per client</w:t>
            </w:r>
          </w:p>
        </w:tc>
        <w:tc>
          <w:tcPr>
            <w:tcW w:type="dxa" w:w="16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once, after Stage I</w:t>
            </w:r>
          </w:p>
        </w:tc>
        <w:tc>
          <w:tcPr>
            <w:tcW w:type="dxa" w:w="18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secure aggregation; optional (ε, δ)-DP</w:t>
            </w:r>
          </w:p>
        </w:tc>
      </w:tr>
      <w:tr>
        <w:tc>
          <w:tcPr>
            <w:tcW w:type="dxa" w:w="36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Consensus labels: prediction sums on a shared fake pool</w:t>
            </w:r>
          </w:p>
        </w:tc>
        <w:tc>
          <w:tcPr>
            <w:tcW w:type="dxa" w:w="26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24 KB per fake epoch</w:t>
            </w:r>
          </w:p>
        </w:tc>
        <w:tc>
          <w:tcPr>
            <w:tcW w:type="dxa" w:w="16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each Stage-III round</w:t>
            </w:r>
          </w:p>
        </w:tc>
        <w:tc>
          <w:tcPr>
            <w:tcW w:type="dxa" w:w="18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sums only; no real data</w:t>
            </w:r>
          </w:p>
        </w:tc>
      </w:tr>
      <w:tr>
        <w:tc>
          <w:tcPr>
            <w:tcW w:type="dxa" w:w="361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Generator, extractor, heads</w:t>
            </w:r>
          </w:p>
        </w:tc>
        <w:tc>
          <w:tcPr>
            <w:tcW w:type="dxa" w:w="26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as in GeFL-F</w:t>
            </w:r>
          </w:p>
        </w:tc>
        <w:tc>
          <w:tcPr>
            <w:tcW w:type="dxa" w:w="16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as in GeFL-F</w:t>
            </w:r>
          </w:p>
        </w:tc>
        <w:tc>
          <w:tcPr>
            <w:tcW w:type="dxa" w:w="18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unchanged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t xml:space="preserve">For formal privacy, features are clipped and each release gets Gaussian noise (zero-concentrated DP):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"/>
            <wp:effectExtent t="0" r="0" b="0" l="0"/>
            <wp:docPr id="21" name="eq_dp" descr="equation" title="eq_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676"/>
        </w:rPr>
        <w:t xml:space="preserve">     (13)</w:t>
      </w:r>
    </w:p>
    <w:p>
      <w:pPr>
        <w:pStyle w:val="Heading1"/>
        <w:pageBreakBefore/>
        <w:spacing w:after="200"/>
      </w:pPr>
      <w:r>
        <w:t xml:space="preserve">5. Results</w:t>
      </w:r>
    </w:p>
    <w:p>
      <w:pPr>
        <w:pStyle w:val="Heading2"/>
        <w:spacing w:after="120" w:before="240"/>
      </w:pPr>
      <w:r>
        <w:t xml:space="preserve">5.1 Protocol</w:t>
      </w:r>
    </w:p>
    <w:p>
      <w:pPr>
        <w:spacing w:after="120" w:line="276"/>
        <w:jc w:val="both"/>
      </w:pPr>
      <w:r>
        <w:t xml:space="preserve">All runs follow the paper's appendix: the same models, optimisers, rounds and data fractions; 3 seeds; each seed fixes the split and the initialisation for every method, so comparisons are paired; p-values come from paired t-tests. Local runs used one laptop GPU; heavy runs used Kaggle T4 × 2 sessions.</w:t>
      </w:r>
    </w:p>
    <w:p>
      <w:pPr>
        <w:pStyle w:val="Heading2"/>
        <w:spacing w:after="120" w:before="240"/>
      </w:pPr>
      <w:r>
        <w:t xml:space="preserve">5.2 Main result: long-tailed clients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8"/>
        <w:gridCol w:w="1205"/>
        <w:gridCol w:w="1406"/>
        <w:gridCol w:w="1205"/>
        <w:gridCol w:w="1204"/>
      </w:tblGrid>
      <w:tr>
        <w:trPr>
          <w:tblHeader/>
        </w:trPr>
        <w:tc>
          <w:tcPr>
            <w:tcW w:type="dxa" w:w="46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 (IF = 100, Dir 0.5, K = 10; balanced accuracy)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MNIST</w:t>
            </w:r>
          </w:p>
        </w:tc>
        <w:tc>
          <w:tcPr>
            <w:tcW w:type="dxa" w:w="1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FashionMNIST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CIFAR-10</w:t>
            </w:r>
          </w:p>
        </w:tc>
        <w:tc>
          <w:tcPr>
            <w:tcW w:type="dxa" w:w="12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SVHN</w:t>
            </w:r>
          </w:p>
        </w:tc>
      </w:tr>
      <w:tr>
        <w:tc>
          <w:tcPr>
            <w:tcW w:type="dxa" w:w="46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GeFL-F (Kang et al., 2025)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75.25</w:t>
            </w:r>
          </w:p>
        </w:tc>
        <w:tc>
          <w:tcPr>
            <w:tcW w:type="dxa" w:w="1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58.47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33.74</w:t>
            </w:r>
          </w:p>
        </w:tc>
        <w:tc>
          <w:tcPr>
            <w:tcW w:type="dxa" w:w="12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50.49</w:t>
            </w:r>
          </w:p>
        </w:tc>
      </w:tr>
      <w:tr>
        <w:tc>
          <w:tcPr>
            <w:tcW w:type="dxa" w:w="46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GeFL-F + logit adjustment (≈ FedLC)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78.92</w:t>
            </w:r>
          </w:p>
        </w:tc>
        <w:tc>
          <w:tcPr>
            <w:tcW w:type="dxa" w:w="1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64.78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37.30</w:t>
            </w:r>
          </w:p>
        </w:tc>
        <w:tc>
          <w:tcPr>
            <w:tcW w:type="dxa" w:w="12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56.44</w:t>
            </w:r>
          </w:p>
        </w:tc>
      </w:tr>
      <w:tr>
        <w:tc>
          <w:tcPr>
            <w:tcW w:type="dxa" w:w="46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 HWA (count-anchored rows) + LA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87.89</w:t>
            </w:r>
          </w:p>
        </w:tc>
        <w:tc>
          <w:tcPr>
            <w:tcW w:type="dxa" w:w="1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76.02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40.73</w:t>
            </w:r>
          </w:p>
        </w:tc>
        <w:tc>
          <w:tcPr>
            <w:tcW w:type="dxa" w:w="12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62.45</w:t>
            </w:r>
          </w:p>
        </w:tc>
      </w:tr>
      <w:tr>
        <w:tc>
          <w:tcPr>
            <w:tcW w:type="dxa" w:w="46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 HWA + LA + consensus labels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90.40</w:t>
            </w:r>
          </w:p>
        </w:tc>
        <w:tc>
          <w:tcPr>
            <w:tcW w:type="dxa" w:w="1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76.60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42.10</w:t>
            </w:r>
          </w:p>
        </w:tc>
        <w:tc>
          <w:tcPr>
            <w:tcW w:type="dxa" w:w="12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46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Gaussian generator from exact statistics (FSG) + LA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87.04</w:t>
            </w:r>
          </w:p>
        </w:tc>
        <w:tc>
          <w:tcPr>
            <w:tcW w:type="dxa" w:w="1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73.60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44.17</w:t>
            </w:r>
          </w:p>
        </w:tc>
        <w:tc>
          <w:tcPr>
            <w:tcW w:type="dxa" w:w="12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44.23</w:t>
            </w:r>
          </w:p>
        </w:tc>
      </w:tr>
      <w:tr>
        <w:tc>
          <w:tcPr>
            <w:tcW w:type="dxa" w:w="46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Ours-A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94.82</w:t>
            </w:r>
          </w:p>
        </w:tc>
        <w:tc>
          <w:tcPr>
            <w:tcW w:type="dxa" w:w="1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79.67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44.38</w:t>
            </w:r>
          </w:p>
        </w:tc>
        <w:tc>
          <w:tcPr>
            <w:tcW w:type="dxa" w:w="12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54.41</w:t>
            </w:r>
          </w:p>
        </w:tc>
      </w:tr>
      <w:tr>
        <w:tc>
          <w:tcPr>
            <w:tcW w:type="dxa" w:w="46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oracle: Ours-A's heads, last layer re-fit on pooled real data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94.93</w:t>
            </w:r>
          </w:p>
        </w:tc>
        <w:tc>
          <w:tcPr>
            <w:tcW w:type="dxa" w:w="1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81.55</w:t>
            </w:r>
          </w:p>
        </w:tc>
        <w:tc>
          <w:tcPr>
            <w:tcW w:type="dxa" w:w="12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50.64</w:t>
            </w:r>
          </w:p>
        </w:tc>
        <w:tc>
          <w:tcPr>
            <w:tcW w:type="dxa" w:w="12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59.13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t xml:space="preserve">Tail recall: 51.9 → 91.1 (MNIST), 35.4 → 73.6 (FashionMNIST). SVHN is the weak case (Part 5.7).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238375"/>
            <wp:effectExtent t="0" r="0" b="0" l="0"/>
            <wp:docPr id="22" name="f08_longtail.png" descr="Figure 8. Long-tailed clients: Ours-A against GeFL-F and the strongest alternatives." title="f08_long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676"/>
          <w:sz w:val="18"/>
          <w:szCs w:val="18"/>
        </w:rPr>
        <w:t xml:space="preserve">Figure 8. Long-tailed clients: Ours-A against GeFL-F and the strongest alternatives.</w:t>
      </w:r>
    </w:p>
    <w:p>
      <w:pPr>
        <w:pStyle w:val="Heading2"/>
        <w:spacing w:after="120" w:before="240"/>
      </w:pPr>
      <w:r>
        <w:t xml:space="preserve">5.3 The paper's own balanced setting, against all ten of its methods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329"/>
        <w:gridCol w:w="2437"/>
        <w:gridCol w:w="1329"/>
        <w:gridCol w:w="1108"/>
        <w:gridCol w:w="1219"/>
      </w:tblGrid>
      <w:tr>
        <w:trPr>
          <w:tblHeader/>
        </w:trPr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best_mean_acc, IID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GeFL-F (paper)</w:t>
            </w:r>
          </w:p>
        </w:tc>
        <w:tc>
          <w:tcPr>
            <w:tcW w:type="dxa" w:w="24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Best of the paper's ten methods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Our GeFL-F</w:t>
            </w:r>
          </w:p>
        </w:tc>
        <w:tc>
          <w:tcPr>
            <w:tcW w:type="dxa" w:w="11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Ours-A</w:t>
            </w:r>
          </w:p>
        </w:tc>
        <w:tc>
          <w:tcPr>
            <w:tcW w:type="dxa" w:w="1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Ours-A − best</w:t>
            </w:r>
          </w:p>
        </w:tc>
      </w:tr>
      <w:tr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MNIST, K = 10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95.47</w:t>
            </w:r>
          </w:p>
        </w:tc>
        <w:tc>
          <w:tcPr>
            <w:tcW w:type="dxa" w:w="24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96.44 (GeFL, DDPM)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96.01</w:t>
            </w:r>
          </w:p>
        </w:tc>
        <w:tc>
          <w:tcPr>
            <w:tcW w:type="dxa" w:w="11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97.62</w:t>
            </w:r>
          </w:p>
        </w:tc>
        <w:tc>
          <w:tcPr>
            <w:tcW w:type="dxa" w:w="1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+1.18</w:t>
            </w:r>
          </w:p>
        </w:tc>
      </w:tr>
      <w:tr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MNIST, K = 50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95.04</w:t>
            </w:r>
          </w:p>
        </w:tc>
        <w:tc>
          <w:tcPr>
            <w:tcW w:type="dxa" w:w="24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95.04 (GeFL-F, CVAE-F)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95.43</w:t>
            </w:r>
          </w:p>
        </w:tc>
        <w:tc>
          <w:tcPr>
            <w:tcW w:type="dxa" w:w="11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96.93</w:t>
            </w:r>
          </w:p>
        </w:tc>
        <w:tc>
          <w:tcPr>
            <w:tcW w:type="dxa" w:w="1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+1.89</w:t>
            </w:r>
          </w:p>
        </w:tc>
      </w:tr>
      <w:tr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MNIST, K = 100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94.63</w:t>
            </w:r>
          </w:p>
        </w:tc>
        <w:tc>
          <w:tcPr>
            <w:tcW w:type="dxa" w:w="24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94.63 (GeFL-F, CVAE-F)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94.88</w:t>
            </w:r>
          </w:p>
        </w:tc>
        <w:tc>
          <w:tcPr>
            <w:tcW w:type="dxa" w:w="11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96.77</w:t>
            </w:r>
          </w:p>
        </w:tc>
        <w:tc>
          <w:tcPr>
            <w:tcW w:type="dxa" w:w="1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+2.14</w:t>
            </w:r>
          </w:p>
        </w:tc>
      </w:tr>
      <w:tr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FashionMNIST, K = 10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83.14</w:t>
            </w:r>
          </w:p>
        </w:tc>
        <w:tc>
          <w:tcPr>
            <w:tcW w:type="dxa" w:w="24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84.28 (GeFL-F, DDPM-F)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82.76</w:t>
            </w:r>
          </w:p>
        </w:tc>
        <w:tc>
          <w:tcPr>
            <w:tcW w:type="dxa" w:w="11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83.96</w:t>
            </w:r>
          </w:p>
        </w:tc>
        <w:tc>
          <w:tcPr>
            <w:tcW w:type="dxa" w:w="1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−0.32</w:t>
            </w:r>
          </w:p>
        </w:tc>
      </w:tr>
      <w:tr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FashionMNIST, K = 50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82.21</w:t>
            </w:r>
          </w:p>
        </w:tc>
        <w:tc>
          <w:tcPr>
            <w:tcW w:type="dxa" w:w="24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82.96 (GeFL-F, DDPM-F)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81.50</w:t>
            </w:r>
          </w:p>
        </w:tc>
        <w:tc>
          <w:tcPr>
            <w:tcW w:type="dxa" w:w="11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82.96</w:t>
            </w:r>
          </w:p>
        </w:tc>
        <w:tc>
          <w:tcPr>
            <w:tcW w:type="dxa" w:w="1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±0.00</w:t>
            </w:r>
          </w:p>
        </w:tc>
      </w:tr>
      <w:tr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CIFAR-10, K = 10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55.86</w:t>
            </w:r>
          </w:p>
        </w:tc>
        <w:tc>
          <w:tcPr>
            <w:tcW w:type="dxa" w:w="24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59.36 (GeFL, DDPM)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59.10</w:t>
            </w:r>
          </w:p>
        </w:tc>
        <w:tc>
          <w:tcPr>
            <w:tcW w:type="dxa" w:w="11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60.93</w:t>
            </w:r>
          </w:p>
        </w:tc>
        <w:tc>
          <w:tcPr>
            <w:tcW w:type="dxa" w:w="1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+1.57</w:t>
            </w:r>
          </w:p>
        </w:tc>
      </w:tr>
      <w:tr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SVHN, K = 10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76.26</w:t>
            </w:r>
          </w:p>
        </w:tc>
        <w:tc>
          <w:tcPr>
            <w:tcW w:type="dxa" w:w="24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76.26 (GeFL-F, CVAE-F)</w:t>
            </w:r>
          </w:p>
        </w:tc>
        <w:tc>
          <w:tcPr>
            <w:tcW w:type="dxa" w:w="13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75.82</w:t>
            </w:r>
          </w:p>
        </w:tc>
        <w:tc>
          <w:tcPr>
            <w:tcW w:type="dxa" w:w="11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74.38</w:t>
            </w:r>
          </w:p>
        </w:tc>
        <w:tc>
          <w:tcPr>
            <w:tcW w:type="dxa" w:w="12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−1.88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t xml:space="preserve">Above the best of the paper's 10 methods on MNIST (all client counts) and CIFAR-10; level on FashionMNIST; below on SVHN.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238375"/>
            <wp:effectExtent t="0" r="0" b="0" l="0"/>
            <wp:docPr id="23" name="f09_iid.png" descr="Figure 9. The paper's balanced setting: Ours-A against the paper's GeFL-F and the best of its ten methods." title="f09_i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676"/>
          <w:sz w:val="18"/>
          <w:szCs w:val="18"/>
        </w:rPr>
        <w:t xml:space="preserve">Figure 9. The paper's balanced setting: Ours-A against the paper's GeFL-F and the best of its ten methods.</w:t>
      </w:r>
    </w:p>
    <w:p>
      <w:pPr>
        <w:pStyle w:val="Heading2"/>
        <w:spacing w:after="120" w:before="240"/>
      </w:pPr>
      <w:r>
        <w:t xml:space="preserve">5.4 Data augmentation (paper's Table IV), and why MixUp does not transfer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3213"/>
      </w:tblGrid>
      <w:tr>
        <w:trPr>
          <w:tblHeader/>
        </w:trPr>
        <w:tc>
          <w:tcPr>
            <w:tcW w:type="dxa" w:w="6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CIFAR-10, IID, K = 10</w:t>
            </w:r>
          </w:p>
        </w:tc>
        <w:tc>
          <w:tcPr>
            <w:tcW w:type="dxa" w:w="32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</w:tr>
      <w:tr>
        <w:tc>
          <w:tcPr>
            <w:tcW w:type="dxa" w:w="6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FedAvg / + MixUp / + CutMix / + AugMix / + AutoAugment (paper)</w:t>
            </w:r>
          </w:p>
        </w:tc>
        <w:tc>
          <w:tcPr>
            <w:tcW w:type="dxa" w:w="32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55.65 / 60.07 / 58.95 / 53.96 / 56.99</w:t>
            </w:r>
          </w:p>
        </w:tc>
      </w:tr>
      <w:tr>
        <w:tc>
          <w:tcPr>
            <w:tcW w:type="dxa" w:w="6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Image-space GeFL + MixUp / + CutMix / + AugMix / + AutoAugment (paper)</w:t>
            </w:r>
          </w:p>
        </w:tc>
        <w:tc>
          <w:tcPr>
            <w:tcW w:type="dxa" w:w="32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62.67 / 61.66 / 56.47 / 59.97</w:t>
            </w:r>
          </w:p>
        </w:tc>
      </w:tr>
      <w:tr>
        <w:tc>
          <w:tcPr>
            <w:tcW w:type="dxa" w:w="6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Ours-A, no augmentation</w:t>
            </w:r>
          </w:p>
        </w:tc>
        <w:tc>
          <w:tcPr>
            <w:tcW w:type="dxa" w:w="32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60.93</w:t>
            </w:r>
          </w:p>
        </w:tc>
      </w:tr>
      <w:tr>
        <w:tc>
          <w:tcPr>
            <w:tcW w:type="dxa" w:w="6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Ours-A + feature-space MixUp (our run, same seeds)</w:t>
            </w:r>
          </w:p>
        </w:tc>
        <w:tc>
          <w:tcPr>
            <w:tcW w:type="dxa" w:w="32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59.98</w:t>
            </w:r>
          </w:p>
        </w:tc>
      </w:tr>
      <w:tr>
        <w:tc>
          <w:tcPr>
            <w:tcW w:type="dxa" w:w="64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Ours-A + VCT (our MixUp variant)</w:t>
            </w:r>
          </w:p>
        </w:tc>
        <w:tc>
          <w:tcPr>
            <w:tcW w:type="dxa" w:w="32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60.29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t xml:space="preserve">Ours-A beats 7 of 9 without augmentation. The two higher ones train full models on raw images; in GeFL-F the extractor is frozen, and feature-space MixUp lowered our accuracy (59.98 vs 60.93).</w:t>
      </w:r>
    </w:p>
    <w:p>
      <w:pPr>
        <w:pStyle w:val="Heading2"/>
        <w:spacing w:after="120" w:before="240"/>
      </w:pPr>
      <w:r>
        <w:t xml:space="preserve">5.5 More clients, and formal privacy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076450"/>
            <wp:effectExtent t="0" r="0" b="0" l="0"/>
            <wp:docPr id="24" name="f11_scaling_privacy.png" descr="Figure 10. (a) 100 clients, MNIST long tail. (b) Ours-A with every statistic made (ε, 10⁻⁵)-differentially private." title="f11_scaling_priva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676"/>
          <w:sz w:val="18"/>
          <w:szCs w:val="18"/>
        </w:rPr>
        <w:t xml:space="preserve">Figure 10. (a) 100 clients, MNIST long tail. (b) Ours-A with every statistic made (ε, 10⁻⁵)-differentially private.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71"/>
        <w:gridCol w:w="1467"/>
        <w:gridCol w:w="1467"/>
        <w:gridCol w:w="1467"/>
        <w:gridCol w:w="1466"/>
      </w:tblGrid>
      <w:tr>
        <w:trPr>
          <w:tblHeader/>
        </w:trPr>
        <w:tc>
          <w:tcPr>
            <w:tcW w:type="dxa" w:w="37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14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GeFL-F</w:t>
            </w:r>
          </w:p>
        </w:tc>
        <w:tc>
          <w:tcPr>
            <w:tcW w:type="dxa" w:w="14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HWA + LA</w:t>
            </w:r>
          </w:p>
        </w:tc>
        <w:tc>
          <w:tcPr>
            <w:tcW w:type="dxa" w:w="14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FSG + LA</w:t>
            </w:r>
          </w:p>
        </w:tc>
        <w:tc>
          <w:tcPr>
            <w:tcW w:type="dxa" w:w="14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Ours-A</w:t>
            </w:r>
          </w:p>
        </w:tc>
      </w:tr>
      <w:tr>
        <w:tc>
          <w:tcPr>
            <w:tcW w:type="dxa" w:w="37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MNIST long tail, K = 100</w:t>
            </w:r>
          </w:p>
        </w:tc>
        <w:tc>
          <w:tcPr>
            <w:tcW w:type="dxa" w:w="14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75.98</w:t>
            </w:r>
          </w:p>
        </w:tc>
        <w:tc>
          <w:tcPr>
            <w:tcW w:type="dxa" w:w="14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83.07</w:t>
            </w:r>
          </w:p>
        </w:tc>
        <w:tc>
          <w:tcPr>
            <w:tcW w:type="dxa" w:w="146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86.05</w:t>
            </w:r>
          </w:p>
        </w:tc>
        <w:tc>
          <w:tcPr>
            <w:tcW w:type="dxa" w:w="14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B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94.30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t xml:space="preserve">Only −0.5 from 10 to 100 clients (the CVAE with HWA loses 4.8): no class weights to estimate from shrinking client data.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629"/>
        <w:gridCol w:w="1533"/>
        <w:gridCol w:w="1533"/>
        <w:gridCol w:w="1533"/>
      </w:tblGrid>
      <w:tr>
        <w:trPr>
          <w:tblHeader/>
        </w:trPr>
        <w:tc>
          <w:tcPr>
            <w:tcW w:type="dxa" w:w="2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Long tail, K = 10</w:t>
            </w:r>
          </w:p>
        </w:tc>
        <w:tc>
          <w:tcPr>
            <w:tcW w:type="dxa" w:w="26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GeFL-F (no formal guarantee)</w:t>
            </w:r>
          </w:p>
        </w:tc>
        <w:tc>
          <w:tcPr>
            <w:tcW w:type="dxa" w:w="15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Ours-A exact</w:t>
            </w:r>
          </w:p>
        </w:tc>
        <w:tc>
          <w:tcPr>
            <w:tcW w:type="dxa" w:w="15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Ours-A, ε = 8</w:t>
            </w:r>
          </w:p>
        </w:tc>
        <w:tc>
          <w:tcPr>
            <w:tcW w:type="dxa" w:w="15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Ours-A, ε = 2</w:t>
            </w:r>
          </w:p>
        </w:tc>
      </w:tr>
      <w:tr>
        <w:tc>
          <w:tcPr>
            <w:tcW w:type="dxa" w:w="2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MNIST</w:t>
            </w:r>
          </w:p>
        </w:tc>
        <w:tc>
          <w:tcPr>
            <w:tcW w:type="dxa" w:w="26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75.25</w:t>
            </w:r>
          </w:p>
        </w:tc>
        <w:tc>
          <w:tcPr>
            <w:tcW w:type="dxa" w:w="15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94.82</w:t>
            </w:r>
          </w:p>
        </w:tc>
        <w:tc>
          <w:tcPr>
            <w:tcW w:type="dxa" w:w="15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90.36</w:t>
            </w:r>
          </w:p>
        </w:tc>
        <w:tc>
          <w:tcPr>
            <w:tcW w:type="dxa" w:w="15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85.06</w:t>
            </w:r>
          </w:p>
        </w:tc>
      </w:tr>
      <w:tr>
        <w:tc>
          <w:tcPr>
            <w:tcW w:type="dxa" w:w="24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FashionMNIST</w:t>
            </w:r>
          </w:p>
        </w:tc>
        <w:tc>
          <w:tcPr>
            <w:tcW w:type="dxa" w:w="26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58.47</w:t>
            </w:r>
          </w:p>
        </w:tc>
        <w:tc>
          <w:tcPr>
            <w:tcW w:type="dxa" w:w="15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79.67</w:t>
            </w:r>
          </w:p>
        </w:tc>
        <w:tc>
          <w:tcPr>
            <w:tcW w:type="dxa" w:w="15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72.77</w:t>
            </w:r>
          </w:p>
        </w:tc>
        <w:tc>
          <w:tcPr>
            <w:tcW w:type="dxa" w:w="15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65.59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t xml:space="preserve">Privacy costs 4.5–6.9 points at ε = 8 and 9.8–14.1 at ε = 2, mostly on the rarest classes; still +7 to +15 over GeFL-F.</w:t>
      </w:r>
    </w:p>
    <w:p>
      <w:pPr>
        <w:pStyle w:val="Heading2"/>
        <w:spacing w:after="120" w:before="240"/>
      </w:pPr>
      <w:r>
        <w:t xml:space="preserve">5.6 What each component contributes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133600"/>
            <wp:effectExtent t="0" r="0" b="0" l="0"/>
            <wp:docPr id="25" name="f10_ablation.png" descr="Figure 11. Adding components one at a time on the same seeds (long tail)." title="f10_ab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676"/>
          <w:sz w:val="18"/>
          <w:szCs w:val="18"/>
        </w:rPr>
        <w:t xml:space="preserve">Figure 11. Adding components one at a time on the same seeds (long tail).</w:t>
      </w:r>
    </w:p>
    <w:p>
      <w:pPr>
        <w:spacing w:after="120" w:line="276"/>
        <w:jc w:val="both"/>
      </w:pPr>
      <w:r>
        <w:t xml:space="preserve">Each step adds on the same seeds. Kernel herding helped in all 9 paired tests (p = 0.004).</w:t>
      </w:r>
    </w:p>
    <w:p>
      <w:pPr>
        <w:pStyle w:val="Heading2"/>
        <w:spacing w:after="120" w:before="240"/>
      </w:pPr>
      <w:r>
        <w:t xml:space="preserve">5.7 The weak case: SVHN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9"/>
        <w:gridCol w:w="1793"/>
        <w:gridCol w:w="1793"/>
        <w:gridCol w:w="1793"/>
      </w:tblGrid>
      <w:tr>
        <w:trPr>
          <w:tblHeader/>
        </w:trPr>
        <w:tc>
          <w:tcPr>
            <w:tcW w:type="dxa" w:w="425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SVHN</w:t>
            </w:r>
          </w:p>
        </w:tc>
        <w:tc>
          <w:tcPr>
            <w:tcW w:type="dxa" w:w="17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GeFL-F</w:t>
            </w:r>
          </w:p>
        </w:tc>
        <w:tc>
          <w:tcPr>
            <w:tcW w:type="dxa" w:w="17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+ HWA + LA</w:t>
            </w:r>
          </w:p>
        </w:tc>
        <w:tc>
          <w:tcPr>
            <w:tcW w:type="dxa" w:w="17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Ours-A</w:t>
            </w:r>
          </w:p>
        </w:tc>
      </w:tr>
      <w:tr>
        <w:tc>
          <w:tcPr>
            <w:tcW w:type="dxa" w:w="425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 tail, balanced accuracy</w:t>
            </w:r>
          </w:p>
        </w:tc>
        <w:tc>
          <w:tcPr>
            <w:tcW w:type="dxa" w:w="17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50.49</w:t>
            </w:r>
          </w:p>
        </w:tc>
        <w:tc>
          <w:tcPr>
            <w:tcW w:type="dxa" w:w="17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62.45</w:t>
            </w:r>
          </w:p>
        </w:tc>
        <w:tc>
          <w:tcPr>
            <w:tcW w:type="dxa" w:w="17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54.41</w:t>
            </w:r>
          </w:p>
        </w:tc>
      </w:tr>
      <w:tr>
        <w:tc>
          <w:tcPr>
            <w:tcW w:type="dxa" w:w="425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balanced setting, best_mean_acc</w:t>
            </w:r>
          </w:p>
        </w:tc>
        <w:tc>
          <w:tcPr>
            <w:tcW w:type="dxa" w:w="17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75.82</w:t>
            </w:r>
          </w:p>
        </w:tc>
        <w:tc>
          <w:tcPr>
            <w:tcW w:type="dxa" w:w="17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75.64</w:t>
            </w:r>
          </w:p>
        </w:tc>
        <w:tc>
          <w:tcPr>
            <w:tcW w:type="dxa" w:w="17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74.38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t xml:space="preserve">SVHN's class means are almost identical (nearest-mean accuracy 12 %, chance 10 %), so a mean-anchored generator cannot separate its classes. Fixing this is future scope (Part 7).</w:t>
      </w:r>
    </w:p>
    <w:p>
      <w:pPr>
        <w:pStyle w:val="Heading2"/>
        <w:spacing w:after="120" w:before="240"/>
      </w:pPr>
      <w:r>
        <w:t xml:space="preserve">5.8 Mechanism measurements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4"/>
        <w:gridCol w:w="2142"/>
        <w:gridCol w:w="2142"/>
      </w:tblGrid>
      <w:tr>
        <w:trPr>
          <w:tblHeader/>
        </w:trPr>
        <w:tc>
          <w:tcPr>
            <w:tcW w:type="dxa" w:w="53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Quantity (long tail)</w:t>
            </w:r>
          </w:p>
        </w:tc>
        <w:tc>
          <w:tcPr>
            <w:tcW w:type="dxa" w:w="21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GeFL-F</w:t>
            </w:r>
          </w:p>
        </w:tc>
        <w:tc>
          <w:tcPr>
            <w:tcW w:type="dxa" w:w="21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Ours-A</w:t>
            </w:r>
          </w:p>
        </w:tc>
      </w:tr>
      <w:tr>
        <w:tc>
          <w:tcPr>
            <w:tcW w:type="dxa" w:w="53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Tail fidelity (referee accuracy on synthetic tail features), MNIST / FMNIST</w:t>
            </w:r>
          </w:p>
        </w:tc>
        <w:tc>
          <w:tcPr>
            <w:tcW w:type="dxa" w:w="21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10.3 / 19.9 %</w:t>
            </w:r>
          </w:p>
        </w:tc>
        <w:tc>
          <w:tcPr>
            <w:tcW w:type="dxa" w:w="21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88.6 / 78.7 %</w:t>
            </w:r>
          </w:p>
        </w:tc>
      </w:tr>
      <w:tr>
        <w:tc>
          <w:tcPr>
            <w:tcW w:type="dxa" w:w="53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Tail spread relative to real data, raw → after correction and herding</w:t>
            </w:r>
          </w:p>
        </w:tc>
        <w:tc>
          <w:tcPr>
            <w:tcW w:type="dxa" w:w="21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1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0.39–0.49 → 0.93–0.98</w:t>
            </w:r>
          </w:p>
        </w:tc>
      </w:tr>
      <w:tr>
        <w:tc>
          <w:tcPr>
            <w:tcW w:type="dxa" w:w="535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IID fidelity vs the referee's accuracy on real data (FMNIST)</w:t>
            </w:r>
          </w:p>
        </w:tc>
        <w:tc>
          <w:tcPr>
            <w:tcW w:type="dxa" w:w="21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1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0.837 vs 0.839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t xml:space="preserve">After the fixes, fake features are as hard as real ones, not artificially clean.</w:t>
      </w:r>
    </w:p>
    <w:p>
      <w:pPr>
        <w:pStyle w:val="Heading1"/>
        <w:pageBreakBefore/>
        <w:spacing w:after="200"/>
      </w:pPr>
      <w:r>
        <w:t xml:space="preserve">6. Why it works, and its limits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Removes the cause:</w:t>
      </w:r>
      <w:r>
        <w:t xml:space="preserve"> the generator has no class-specific weight, so FedAvg cannot shrink rare classes (holds at 100 clients).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Smallest correction:</w:t>
      </w:r>
      <w:r>
        <w:t xml:space="preserve"> the moment fix changes fake features as little as possible (Proposition 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Targets the transfer error:</w:t>
      </w:r>
      <w:r>
        <w:t xml:space="preserve"> fingerprint selection reduces the term that bounds real-data error (Lemma 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Same protocol and privacy model as GeFL-F:</w:t>
      </w:r>
      <w:r>
        <w:t xml:space="preserve"> one small extra upload of class sums; formal DP possible.</w:t>
      </w:r>
    </w:p>
    <w:p>
      <w:pPr>
        <w:pStyle w:val="Heading2"/>
        <w:spacing w:after="120" w:before="240"/>
      </w:pPr>
      <w:r>
        <w:t xml:space="preserve">Limitations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SVHN: class means carry no class information, so Ours-A is below GeFL-F in the balanced setting (74.4 vs 75.8).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Balanced data: gains are +1 to +2 points; the method is built for imbalance.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frozen feature extractor limits every method (CIFAR-10 oracle ≈ 51 under the long tail).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 CIFAR-10 and SVHN, 10 fake epochs give a higher peak but a lower final accuracy than 1.</w:t>
      </w:r>
    </w:p>
    <w:p>
      <w:pPr>
        <w:pStyle w:val="Heading1"/>
        <w:pageBreakBefore/>
        <w:spacing w:after="200"/>
      </w:pPr>
      <w:r>
        <w:t xml:space="preserve">7. Future scope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6"/>
        <w:gridCol w:w="2811"/>
        <w:gridCol w:w="2811"/>
      </w:tblGrid>
      <w:tr>
        <w:trPr>
          <w:tblHeader/>
        </w:trPr>
        <w:tc>
          <w:tcPr>
            <w:tcW w:type="dxa" w:w="40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Next step</w:t>
            </w:r>
          </w:p>
        </w:tc>
        <w:tc>
          <w:tcPr>
            <w:tcW w:type="dxa" w:w="28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28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Early evidence</w:t>
            </w:r>
          </w:p>
        </w:tc>
      </w:tr>
      <w:tr>
        <w:tc>
          <w:tcPr>
            <w:tcW w:type="dxa" w:w="40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Automatic switch: class rows (HWA) when class means are weak</w:t>
            </w:r>
          </w:p>
        </w:tc>
        <w:tc>
          <w:tcPr>
            <w:tcW w:type="dxa" w:w="28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 SVHN</w:t>
            </w:r>
          </w:p>
        </w:tc>
        <w:tc>
          <w:tcPr>
            <w:tcW w:type="dxa" w:w="28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SVHN long tail 54.4 → 65.6</w:t>
            </w:r>
          </w:p>
        </w:tc>
      </w:tr>
      <w:tr>
        <w:tc>
          <w:tcPr>
            <w:tcW w:type="dxa" w:w="40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Covariance correction (MC-S / MC-B)</w:t>
            </w:r>
          </w:p>
        </w:tc>
        <w:tc>
          <w:tcPr>
            <w:tcW w:type="dxa" w:w="28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use exact class covariance, not only spread</w:t>
            </w:r>
          </w:p>
        </w:tc>
        <w:tc>
          <w:tcPr>
            <w:tcW w:type="dxa" w:w="28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FMNIST: 79.7 → 81.6 (long tail), 84.0 → 85.8 (balanced)</w:t>
            </w:r>
          </w:p>
        </w:tc>
      </w:tr>
      <w:tr>
        <w:tc>
          <w:tcPr>
            <w:tcW w:type="dxa" w:w="40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Calibration of each head (BBC)</w:t>
            </w:r>
          </w:p>
        </w:tc>
        <w:tc>
          <w:tcPr>
            <w:tcW w:type="dxa" w:w="28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remove leftover bias toward common classes</w:t>
            </w:r>
          </w:p>
        </w:tc>
        <w:tc>
          <w:tcPr>
            <w:tcW w:type="dxa" w:w="28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+0.3 to +1.4 under the long tail</w:t>
            </w:r>
          </w:p>
        </w:tc>
      </w:tr>
      <w:tr>
        <w:tc>
          <w:tcPr>
            <w:tcW w:type="dxa" w:w="40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Leave-one-out ablation of Ours-A</w:t>
            </w:r>
          </w:p>
        </w:tc>
        <w:tc>
          <w:tcPr>
            <w:tcW w:type="dxa" w:w="28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prove each part is needed</w:t>
            </w:r>
          </w:p>
        </w:tc>
        <w:tc>
          <w:tcPr>
            <w:tcW w:type="dxa" w:w="28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running</w:t>
            </w:r>
          </w:p>
        </w:tc>
      </w:tr>
      <w:tr>
        <w:tc>
          <w:tcPr>
            <w:tcW w:type="dxa" w:w="40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 / 100 clients on SVHN and CIFAR-10; FMNIST at 100</w:t>
            </w:r>
          </w:p>
        </w:tc>
        <w:tc>
          <w:tcPr>
            <w:tcW w:type="dxa" w:w="28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complete the paper's grid</w:t>
            </w:r>
          </w:p>
        </w:tc>
        <w:tc>
          <w:tcPr>
            <w:tcW w:type="dxa" w:w="28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running</w:t>
            </w:r>
          </w:p>
        </w:tc>
      </w:tr>
      <w:tr>
        <w:tc>
          <w:tcPr>
            <w:tcW w:type="dxa" w:w="40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Paper's other FL baselines under the long tail</w:t>
            </w:r>
          </w:p>
        </w:tc>
        <w:tc>
          <w:tcPr>
            <w:tcW w:type="dxa" w:w="28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complete comparisons</w:t>
            </w:r>
          </w:p>
        </w:tc>
        <w:tc>
          <w:tcPr>
            <w:tcW w:type="dxa" w:w="28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running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00"/>
      </w:pPr>
      <w:r>
        <w:t xml:space="preserve">Appendix A. Proofs</w:t>
      </w:r>
    </w:p>
    <w:p>
      <w:pPr>
        <w:spacing w:after="120" w:line="276"/>
        <w:jc w:val="both"/>
      </w:pPr>
      <w:r>
        <w:rPr>
          <w:b/>
          <w:bCs/>
        </w:rPr>
        <w:t xml:space="preserve">Proposition 1.</w:t>
      </w:r>
      <w:r>
        <w:t xml:space="preserve"> A non-holder's gradient on w_c is λw_c. Adam's update is η·m̂/√v̂, and for a constant-sign gradient m̂/√v̂ → sign(w_c), so each step moves |w_c| by η toward zero. A holder's normalised step is at most η in magnitude. With weights m_c/K for holders and 1 − m_c/K for non-holders, the averaged change is at most (2m_c/K − 1)Sη. ∎</w:t>
      </w:r>
    </w:p>
    <w:p>
      <w:pPr>
        <w:spacing w:after="120" w:line="276"/>
        <w:jc w:val="both"/>
      </w:pPr>
      <w:r>
        <w:rPr>
          <w:b/>
          <w:bCs/>
        </w:rPr>
        <w:t xml:space="preserve">Proposition 3.</w:t>
      </w:r>
      <w:r>
        <w:t xml:space="preserve"> With Y = T(X), E‖Y − X‖² = V_c + Ṽ_c + ‖m_c − m̃_c‖² − 2E⟨Y − m_c, X − m̃_c⟩. By Cauchy–Schwarz the last term is at most √(V_c Ṽ_c), with equality if and only if Y − m_c = √(V_c/Ṽ_c)(X − m̃_c). ∎</w:t>
      </w:r>
    </w:p>
    <w:p>
      <w:pPr>
        <w:spacing w:after="120" w:line="276"/>
        <w:jc w:val="both"/>
      </w:pPr>
      <w:r>
        <w:rPr>
          <w:b/>
          <w:bCs/>
        </w:rPr>
        <w:t xml:space="preserve">Proposition 5.</w:t>
      </w:r>
      <w:r>
        <w:t xml:space="preserve"> With w = λn_s/(n_r + λn_s), the error becomes σ²(1 − w)/n_r + w²b², a convex parabola minimised at w* = σ²/(2n_rb²). The optimum is clipped to the feasible range, so the optimal synthetic share is non-increasing in b and reaches its maximum as b → 0. ∎</w:t>
      </w:r>
    </w:p>
    <w:p>
      <w:pPr>
        <w:spacing w:after="120" w:line="276"/>
        <w:jc w:val="both"/>
      </w:pPr>
      <w:r>
        <w:rPr>
          <w:b/>
          <w:bCs/>
        </w:rPr>
        <w:t xml:space="preserve">Lemma 1</w:t>
      </w:r>
      <w:r>
        <w:t xml:space="preserve"> is the standard RKHS bound: |E_G ℓ − E_P ℓ| = |⟨ℓ, μ_G − μ_P⟩| ≤ ‖ℓ‖·MMD(G, P).</w:t>
      </w:r>
    </w:p>
    <w:p>
      <w:pPr>
        <w:pStyle w:val="Heading1"/>
        <w:pageBreakBefore/>
        <w:spacing w:after="200"/>
      </w:pPr>
      <w:r>
        <w:t xml:space="preserve">Appendix B. Hyperparameters and experiment inventory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2095"/>
        <w:gridCol w:w="943"/>
        <w:gridCol w:w="2095"/>
        <w:gridCol w:w="1152"/>
        <w:gridCol w:w="1677"/>
      </w:tblGrid>
      <w:tr>
        <w:trPr>
          <w:tblHeader/>
        </w:trPr>
        <w:tc>
          <w:tcPr>
            <w:tcW w:type="dxa" w:w="16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Fraction / train size</w:t>
            </w:r>
          </w:p>
        </w:tc>
        <w:tc>
          <w:tcPr>
            <w:tcW w:type="dxa" w:w="94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Batch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T_FE / T_KA / T_TN</w:t>
            </w:r>
          </w:p>
        </w:tc>
        <w:tc>
          <w:tcPr>
            <w:tcW w:type="dxa" w:w="11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Latent l</w:t>
            </w:r>
          </w:p>
        </w:tc>
        <w:tc>
          <w:tcPr>
            <w:tcW w:type="dxa" w:w="16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 h</w:t>
            </w:r>
          </w:p>
        </w:tc>
      </w:tr>
      <w:tr>
        <w:tc>
          <w:tcPr>
            <w:tcW w:type="dxa" w:w="16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MNIST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 / 6,000</w:t>
            </w:r>
          </w:p>
        </w:tc>
        <w:tc>
          <w:tcPr>
            <w:tcW w:type="dxa" w:w="94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 / 100 / 50</w:t>
            </w:r>
          </w:p>
        </w:tc>
        <w:tc>
          <w:tcPr>
            <w:tcW w:type="dxa" w:w="11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6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3×16×16</w:t>
            </w:r>
          </w:p>
        </w:tc>
      </w:tr>
      <w:tr>
        <w:tc>
          <w:tcPr>
            <w:tcW w:type="dxa" w:w="16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FashionMNIST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 / 6,000</w:t>
            </w:r>
          </w:p>
        </w:tc>
        <w:tc>
          <w:tcPr>
            <w:tcW w:type="dxa" w:w="94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 / 100 / 50</w:t>
            </w:r>
          </w:p>
        </w:tc>
        <w:tc>
          <w:tcPr>
            <w:tcW w:type="dxa" w:w="11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6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3×16×16</w:t>
            </w:r>
          </w:p>
        </w:tc>
      </w:tr>
      <w:tr>
        <w:tc>
          <w:tcPr>
            <w:tcW w:type="dxa" w:w="16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SVHN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 / 7,326</w:t>
            </w:r>
          </w:p>
        </w:tc>
        <w:tc>
          <w:tcPr>
            <w:tcW w:type="dxa" w:w="94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 / 100 / 100</w:t>
            </w:r>
          </w:p>
        </w:tc>
        <w:tc>
          <w:tcPr>
            <w:tcW w:type="dxa" w:w="11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6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3×16×16</w:t>
            </w:r>
          </w:p>
        </w:tc>
      </w:tr>
      <w:tr>
        <w:tc>
          <w:tcPr>
            <w:tcW w:type="dxa" w:w="16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CIFAR-10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 / 25,000</w:t>
            </w:r>
          </w:p>
        </w:tc>
        <w:tc>
          <w:tcPr>
            <w:tcW w:type="dxa" w:w="94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128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 / 200 / 100</w:t>
            </w:r>
          </w:p>
        </w:tc>
        <w:tc>
          <w:tcPr>
            <w:tcW w:type="dxa" w:w="11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6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10×16×16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t xml:space="preserve">Ours-A settings: 6,144 random Fourier features; herding pool 4n; consensus weight β = 0.5; LA temperature τ = 1; T_s = 10, T_r = 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1"/>
        <w:gridCol w:w="6087"/>
      </w:tblGrid>
      <w:tr>
        <w:trPr>
          <w:tblHeader/>
        </w:trPr>
        <w:tc>
          <w:tcPr>
            <w:tcW w:type="dxa" w:w="35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Experiment series</w:t>
            </w:r>
          </w:p>
        </w:tc>
        <w:tc>
          <w:tcPr>
            <w:tcW w:type="dxa" w:w="60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C4E9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 answered</w:t>
            </w:r>
          </w:p>
        </w:tc>
      </w:tr>
      <w:tr>
        <w:tc>
          <w:tcPr>
            <w:tcW w:type="dxa" w:w="35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F01, F10, E20 (local)</w:t>
            </w:r>
          </w:p>
        </w:tc>
        <w:tc>
          <w:tcPr>
            <w:tcW w:type="dxa" w:w="60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Main long-tail comparison and the first anchored generator</w:t>
            </w:r>
          </w:p>
        </w:tc>
      </w:tr>
      <w:tr>
        <w:tc>
          <w:tcPr>
            <w:tcW w:type="dxa" w:w="35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E16, E21, E22 (local)</w:t>
            </w:r>
          </w:p>
        </w:tc>
        <w:tc>
          <w:tcPr>
            <w:tcW w:type="dxa" w:w="60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Synthetic budget (Proposition 5); 100 clients</w:t>
            </w:r>
          </w:p>
        </w:tc>
      </w:tr>
      <w:tr>
        <w:tc>
          <w:tcPr>
            <w:tcW w:type="dxa" w:w="35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E24, E25 (local)</w:t>
            </w:r>
          </w:p>
        </w:tc>
        <w:tc>
          <w:tcPr>
            <w:tcW w:type="dxa" w:w="60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Kernel herding, KME-Gen, the anchored stack</w:t>
            </w:r>
          </w:p>
        </w:tc>
      </w:tr>
      <w:tr>
        <w:tc>
          <w:tcPr>
            <w:tcW w:type="dxa" w:w="35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E26, E27, E29, E31, E32 (local)</w:t>
            </w:r>
          </w:p>
        </w:tc>
        <w:tc>
          <w:tcPr>
            <w:tcW w:type="dxa" w:w="60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Formal DP; IID at 50/100 clients; hybrid</w:t>
            </w:r>
          </w:p>
        </w:tc>
      </w:tr>
      <w:tr>
        <w:tc>
          <w:tcPr>
            <w:tcW w:type="dxa" w:w="35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K01–K04 (Kaggle)</w:t>
            </w:r>
          </w:p>
        </w:tc>
        <w:tc>
          <w:tcPr>
            <w:tcW w:type="dxa" w:w="60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CIFAR-10 and SVHN baselines; regimes, privacy, ablations; client scaling; diffusion generator</w:t>
            </w:r>
          </w:p>
        </w:tc>
      </w:tr>
      <w:tr>
        <w:tc>
          <w:tcPr>
            <w:tcW w:type="dxa" w:w="35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K08, K10, K11, K13 (Kaggle)</w:t>
            </w:r>
          </w:p>
        </w:tc>
        <w:tc>
          <w:tcPr>
            <w:tcW w:type="dxa" w:w="60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Ours-A on CIFAR-10 and SVHN; hybrid; VCT vs MixUp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t xml:space="preserve">All code, logs and per-seed results are in the project repository, and every number in this report can be regenerated from the logged runs.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6"/>
        <w:sz w:val="16"/>
        <w:szCs w:val="16"/>
      </w:rPr>
      <w:t xml:space="preserve">Ours-A · Research Progress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C4E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43B6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B5B8F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b59eda1d428b33b50a3c3a28be96c0c5ce3a9b6.png"/><Relationship Id="rId10" Type="http://schemas.openxmlformats.org/officeDocument/2006/relationships/image" Target="media/9020bec64912fb22616c0531edc288ffb92b247a.png"/><Relationship Id="rId11" Type="http://schemas.openxmlformats.org/officeDocument/2006/relationships/image" Target="media/afc191ae821f301698525c5f2a83ed1b79f480aa.png"/><Relationship Id="rId12" Type="http://schemas.openxmlformats.org/officeDocument/2006/relationships/image" Target="media/2e001eca56d58de3dcc61bd92a8887dfb4726997.png"/><Relationship Id="rId13" Type="http://schemas.openxmlformats.org/officeDocument/2006/relationships/image" Target="media/a2f4dee7710e3ac99325464ed1b4ac9b603858f1.png"/><Relationship Id="rId14" Type="http://schemas.openxmlformats.org/officeDocument/2006/relationships/image" Target="media/70a2d37165edf1806794c673b6868e1c4b4028c6.png"/><Relationship Id="rId15" Type="http://schemas.openxmlformats.org/officeDocument/2006/relationships/image" Target="media/97d5e8694b7bca16976a6e6d18a5548ebe856330.png"/><Relationship Id="rId16" Type="http://schemas.openxmlformats.org/officeDocument/2006/relationships/image" Target="media/5ce15f2115f5cfd7ef5cd6b6ab0f269eb93f9549.png"/><Relationship Id="rId17" Type="http://schemas.openxmlformats.org/officeDocument/2006/relationships/image" Target="media/6677cd84b8b20c37278f7d18cc0a801b99ae5de4.png"/><Relationship Id="rId18" Type="http://schemas.openxmlformats.org/officeDocument/2006/relationships/image" Target="media/b8a3db328dbfbac666d49c3a17fac2930e28ef36.png"/><Relationship Id="rId19" Type="http://schemas.openxmlformats.org/officeDocument/2006/relationships/image" Target="media/e5e843a20e662fbc03c5e57508455cc4c68ad531.png"/><Relationship Id="rId20" Type="http://schemas.openxmlformats.org/officeDocument/2006/relationships/image" Target="media/e753d15142322088bac796c3bb1d7ea55e399251.png"/><Relationship Id="rId21" Type="http://schemas.openxmlformats.org/officeDocument/2006/relationships/image" Target="media/b2194295fee65995ed6b3b788046ffd6f11602bb.png"/><Relationship Id="rId22" Type="http://schemas.openxmlformats.org/officeDocument/2006/relationships/image" Target="media/10bfa1fb0250fc677ba3fd3cb2289b30c994ae24.png"/><Relationship Id="rId23" Type="http://schemas.openxmlformats.org/officeDocument/2006/relationships/image" Target="media/548b739708b27b3bf837620f797b2af100006f2e.png"/><Relationship Id="rId24" Type="http://schemas.openxmlformats.org/officeDocument/2006/relationships/image" Target="media/6f16472172409a87541158f3d7830250518a7e90.png"/><Relationship Id="rId25" Type="http://schemas.openxmlformats.org/officeDocument/2006/relationships/image" Target="media/5db5a6850d7a35b349ae0aa13747f3c054aed49a.png"/><Relationship Id="rId26" Type="http://schemas.openxmlformats.org/officeDocument/2006/relationships/image" Target="media/127e7a5f5fcc827991b7c793b6108a4675efbc52.png"/><Relationship Id="rId27" Type="http://schemas.openxmlformats.org/officeDocument/2006/relationships/image" Target="media/5def2ef40ad312ad5726db81eba81d4d965552bb.png"/><Relationship Id="rId28" Type="http://schemas.openxmlformats.org/officeDocument/2006/relationships/image" Target="media/375cdfef4978f4552972ae9ac7f699f563fb945e.png"/><Relationship Id="rId29" Type="http://schemas.openxmlformats.org/officeDocument/2006/relationships/image" Target="media/354964c073501a836e44f73d958cd3e52eaf0cd9.png"/><Relationship Id="rId30" Type="http://schemas.openxmlformats.org/officeDocument/2006/relationships/image" Target="media/79811c5ba58db4fded5f2337de2c56d34d67a64a.png"/><Relationship Id="rId31" Type="http://schemas.openxmlformats.org/officeDocument/2006/relationships/image" Target="media/e68756f0318c1c29c0f83e1166f02122ac7c114f.png"/><Relationship Id="rId32" Type="http://schemas.openxmlformats.org/officeDocument/2006/relationships/image" Target="media/685a8b1031fa2419385ee0822a12afd7bfa0df96.png"/><Relationship Id="rId33" Type="http://schemas.openxmlformats.org/officeDocument/2006/relationships/image" Target="media/28d29297d1a91c1c5159b60f26dfc3d12921cbd4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Ours-A for Generator-Based Heterogeneous FL</dc:title>
  <dc:creator>[Student Name]</dc:creator>
  <cp:lastModifiedBy>Un-named</cp:lastModifiedBy>
  <cp:revision>1</cp:revision>
  <dcterms:created xsi:type="dcterms:W3CDTF">2026-10-13T22:26:37.285Z</dcterms:created>
  <dcterms:modified xsi:type="dcterms:W3CDTF">2026-10-13T22:26:37.286Z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