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000000"/>
          <w:spacing w:val="5"/>
          <w:position w:val="0"/>
          <w:sz w:val="44"/>
          <w:shd w:fill="auto" w:val="clear"/>
        </w:rPr>
      </w:pPr>
      <w:r>
        <w:rPr>
          <w:rFonts w:ascii="Calibri" w:hAnsi="Calibri" w:cs="Calibri" w:eastAsia="Calibri"/>
          <w:color w:val="000000"/>
          <w:spacing w:val="5"/>
          <w:position w:val="0"/>
          <w:sz w:val="44"/>
          <w:shd w:fill="auto" w:val="clear"/>
        </w:rPr>
        <w:t xml:space="preserve">IMDb Movie Review Sentiment Classification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i/>
          <w:color w:val="auto"/>
          <w:spacing w:val="0"/>
          <w:position w:val="0"/>
          <w:sz w:val="21"/>
          <w:shd w:fill="auto" w:val="clear"/>
        </w:rPr>
        <w:t xml:space="preserve">Project report and implementation brief</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project builds a binary sentiment classifier for movie reviews. It uses the supplied labeled CSV files to learn whether a review expresses negative or positive sentiment, then evaluates the model on validation and held-out test data.</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Project description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input is a review in the text column. The target is the label column, where 0 is interpreted as negative sentiment and 1 as positive sentiment. The task is supervised natural language processing: transform free-form review text into numerical features, train a classifier, and report performance with accuracy, F1 score, a classification report, and a confusion matrix.</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Dataset and source links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supplied files match the structure and scale of the IMDb 50K Movie Reviews dataset. The local split contains 50,000 labeled reviews in total.</w:t>
      </w:r>
    </w:p>
    <w:tbl>
      <w:tblPr/>
      <w:tblGrid>
        <w:gridCol w:w="1987"/>
        <w:gridCol w:w="1987"/>
        <w:gridCol w:w="1987"/>
        <w:gridCol w:w="1987"/>
        <w:gridCol w:w="1987"/>
      </w:tblGrid>
      <w:tr>
        <w:trPr>
          <w:trHeight w:val="1" w:hRule="atLeast"/>
          <w:jc w:val="center"/>
        </w:trPr>
        <w:tc>
          <w:tcPr>
            <w:tcW w:w="1987" w:type="dxa"/>
            <w:tcBorders>
              <w:top w:val="single" w:color="d9d9d9" w:sz="6"/>
              <w:left w:val="single" w:color="d9d9d9" w:sz="6"/>
              <w:bottom w:val="single" w:color="d9d9d9" w:sz="6"/>
              <w:right w:val="single" w:color="d9d9d9" w:sz="6"/>
            </w:tcBorders>
            <w:shd w:color="000000" w:fill="1f4e78" w:val="clear"/>
            <w:tcMar>
              <w:left w:w="108" w:type="dxa"/>
              <w:right w:w="108" w:type="dxa"/>
            </w:tcMar>
            <w:vAlign w:val="top"/>
          </w:tcPr>
          <w:p>
            <w:pPr>
              <w:spacing w:before="0" w:after="200" w:line="276"/>
              <w:ind w:right="0" w:left="0" w:firstLine="0"/>
              <w:jc w:val="left"/>
              <w:rPr>
                <w:spacing w:val="0"/>
                <w:position w:val="0"/>
                <w:shd w:fill="auto" w:val="clear"/>
              </w:rPr>
            </w:pPr>
            <w:r>
              <w:rPr>
                <w:rFonts w:ascii="Aptos" w:hAnsi="Aptos" w:cs="Aptos" w:eastAsia="Aptos"/>
                <w:b/>
                <w:color w:val="FFFFFF"/>
                <w:spacing w:val="0"/>
                <w:position w:val="0"/>
                <w:sz w:val="21"/>
                <w:shd w:fill="auto" w:val="clear"/>
              </w:rPr>
              <w:t xml:space="preserve">File</w:t>
            </w:r>
          </w:p>
        </w:tc>
        <w:tc>
          <w:tcPr>
            <w:tcW w:w="1987" w:type="dxa"/>
            <w:tcBorders>
              <w:top w:val="single" w:color="d9d9d9" w:sz="6"/>
              <w:left w:val="single" w:color="d9d9d9" w:sz="6"/>
              <w:bottom w:val="single" w:color="d9d9d9" w:sz="6"/>
              <w:right w:val="single" w:color="d9d9d9" w:sz="6"/>
            </w:tcBorders>
            <w:shd w:color="000000" w:fill="1f4e78" w:val="clear"/>
            <w:tcMar>
              <w:left w:w="108" w:type="dxa"/>
              <w:right w:w="108" w:type="dxa"/>
            </w:tcMar>
            <w:vAlign w:val="top"/>
          </w:tcPr>
          <w:p>
            <w:pPr>
              <w:spacing w:before="0" w:after="200" w:line="276"/>
              <w:ind w:right="0" w:left="0" w:firstLine="0"/>
              <w:jc w:val="left"/>
              <w:rPr>
                <w:spacing w:val="0"/>
                <w:position w:val="0"/>
                <w:shd w:fill="auto" w:val="clear"/>
              </w:rPr>
            </w:pPr>
            <w:r>
              <w:rPr>
                <w:rFonts w:ascii="Aptos" w:hAnsi="Aptos" w:cs="Aptos" w:eastAsia="Aptos"/>
                <w:b/>
                <w:color w:val="FFFFFF"/>
                <w:spacing w:val="0"/>
                <w:position w:val="0"/>
                <w:sz w:val="21"/>
                <w:shd w:fill="auto" w:val="clear"/>
              </w:rPr>
              <w:t xml:space="preserve">Rows</w:t>
            </w:r>
          </w:p>
        </w:tc>
        <w:tc>
          <w:tcPr>
            <w:tcW w:w="1987" w:type="dxa"/>
            <w:tcBorders>
              <w:top w:val="single" w:color="d9d9d9" w:sz="6"/>
              <w:left w:val="single" w:color="d9d9d9" w:sz="6"/>
              <w:bottom w:val="single" w:color="d9d9d9" w:sz="6"/>
              <w:right w:val="single" w:color="d9d9d9" w:sz="6"/>
            </w:tcBorders>
            <w:shd w:color="000000" w:fill="1f4e78" w:val="clear"/>
            <w:tcMar>
              <w:left w:w="108" w:type="dxa"/>
              <w:right w:w="108" w:type="dxa"/>
            </w:tcMar>
            <w:vAlign w:val="top"/>
          </w:tcPr>
          <w:p>
            <w:pPr>
              <w:spacing w:before="0" w:after="200" w:line="276"/>
              <w:ind w:right="0" w:left="0" w:firstLine="0"/>
              <w:jc w:val="left"/>
              <w:rPr>
                <w:spacing w:val="0"/>
                <w:position w:val="0"/>
                <w:shd w:fill="auto" w:val="clear"/>
              </w:rPr>
            </w:pPr>
            <w:r>
              <w:rPr>
                <w:rFonts w:ascii="Aptos" w:hAnsi="Aptos" w:cs="Aptos" w:eastAsia="Aptos"/>
                <w:b/>
                <w:color w:val="FFFFFF"/>
                <w:spacing w:val="0"/>
                <w:position w:val="0"/>
                <w:sz w:val="21"/>
                <w:shd w:fill="auto" w:val="clear"/>
              </w:rPr>
              <w:t xml:space="preserve">Columns</w:t>
            </w:r>
          </w:p>
        </w:tc>
        <w:tc>
          <w:tcPr>
            <w:tcW w:w="1987" w:type="dxa"/>
            <w:tcBorders>
              <w:top w:val="single" w:color="d9d9d9" w:sz="6"/>
              <w:left w:val="single" w:color="d9d9d9" w:sz="6"/>
              <w:bottom w:val="single" w:color="d9d9d9" w:sz="6"/>
              <w:right w:val="single" w:color="d9d9d9" w:sz="6"/>
            </w:tcBorders>
            <w:shd w:color="000000" w:fill="1f4e78" w:val="clear"/>
            <w:tcMar>
              <w:left w:w="108" w:type="dxa"/>
              <w:right w:w="108" w:type="dxa"/>
            </w:tcMar>
            <w:vAlign w:val="top"/>
          </w:tcPr>
          <w:p>
            <w:pPr>
              <w:spacing w:before="0" w:after="200" w:line="276"/>
              <w:ind w:right="0" w:left="0" w:firstLine="0"/>
              <w:jc w:val="left"/>
              <w:rPr>
                <w:spacing w:val="0"/>
                <w:position w:val="0"/>
                <w:shd w:fill="auto" w:val="clear"/>
              </w:rPr>
            </w:pPr>
            <w:r>
              <w:rPr>
                <w:rFonts w:ascii="Aptos" w:hAnsi="Aptos" w:cs="Aptos" w:eastAsia="Aptos"/>
                <w:b/>
                <w:color w:val="FFFFFF"/>
                <w:spacing w:val="0"/>
                <w:position w:val="0"/>
                <w:sz w:val="21"/>
                <w:shd w:fill="auto" w:val="clear"/>
              </w:rPr>
              <w:t xml:space="preserve">Label 0</w:t>
            </w:r>
          </w:p>
        </w:tc>
        <w:tc>
          <w:tcPr>
            <w:tcW w:w="1987" w:type="dxa"/>
            <w:tcBorders>
              <w:top w:val="single" w:color="d9d9d9" w:sz="6"/>
              <w:left w:val="single" w:color="d9d9d9" w:sz="6"/>
              <w:bottom w:val="single" w:color="d9d9d9" w:sz="6"/>
              <w:right w:val="single" w:color="d9d9d9" w:sz="6"/>
            </w:tcBorders>
            <w:shd w:color="000000" w:fill="1f4e78" w:val="clear"/>
            <w:tcMar>
              <w:left w:w="108" w:type="dxa"/>
              <w:right w:w="108" w:type="dxa"/>
            </w:tcMar>
            <w:vAlign w:val="top"/>
          </w:tcPr>
          <w:p>
            <w:pPr>
              <w:spacing w:before="0" w:after="200" w:line="276"/>
              <w:ind w:right="0" w:left="0" w:firstLine="0"/>
              <w:jc w:val="left"/>
              <w:rPr>
                <w:spacing w:val="0"/>
                <w:position w:val="0"/>
                <w:shd w:fill="auto" w:val="clear"/>
              </w:rPr>
            </w:pPr>
            <w:r>
              <w:rPr>
                <w:rFonts w:ascii="Aptos" w:hAnsi="Aptos" w:cs="Aptos" w:eastAsia="Aptos"/>
                <w:b/>
                <w:color w:val="FFFFFF"/>
                <w:spacing w:val="0"/>
                <w:position w:val="0"/>
                <w:sz w:val="21"/>
                <w:shd w:fill="auto" w:val="clear"/>
              </w:rPr>
              <w:t xml:space="preserve">Label 1</w:t>
            </w:r>
          </w:p>
        </w:tc>
      </w:tr>
      <w:tr>
        <w:trPr>
          <w:trHeight w:val="1" w:hRule="atLeast"/>
          <w:jc w:val="center"/>
        </w:trPr>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Train.csv</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40,000</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text, label</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20,019</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19,981</w:t>
            </w:r>
          </w:p>
        </w:tc>
      </w:tr>
      <w:tr>
        <w:trPr>
          <w:trHeight w:val="1" w:hRule="atLeast"/>
          <w:jc w:val="center"/>
        </w:trPr>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Valid.csv</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5,000</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text, label</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2,486</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2,514</w:t>
            </w:r>
          </w:p>
        </w:tc>
      </w:tr>
      <w:tr>
        <w:trPr>
          <w:trHeight w:val="1" w:hRule="atLeast"/>
          <w:jc w:val="center"/>
        </w:trPr>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Test.csv</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5,000</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text, label</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2,495</w:t>
            </w:r>
          </w:p>
        </w:tc>
        <w:tc>
          <w:tcPr>
            <w:tcW w:w="1987"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2,505</w:t>
            </w:r>
          </w:p>
        </w:tc>
      </w:tr>
    </w:tbl>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Dataset references:</w:t>
      </w:r>
    </w:p>
    <w:p>
      <w:pPr>
        <w:numPr>
          <w:ilvl w:val="0"/>
          <w:numId w:val="18"/>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Kaggle: </w:t>
      </w:r>
      <w:hyperlink xmlns:r="http://schemas.openxmlformats.org/officeDocument/2006/relationships" r:id="docRId0">
        <w:r>
          <w:rPr>
            <w:rFonts w:ascii="Aptos" w:hAnsi="Aptos" w:cs="Aptos" w:eastAsia="Aptos"/>
            <w:color w:val="0563C1"/>
            <w:spacing w:val="0"/>
            <w:position w:val="0"/>
            <w:sz w:val="21"/>
            <w:u w:val="single"/>
            <w:shd w:fill="auto" w:val="clear"/>
          </w:rPr>
          <w:t xml:space="preserve">IMDb Dataset of 50K Movie Reviews</w:t>
        </w:r>
      </w:hyperlink>
    </w:p>
    <w:p>
      <w:pPr>
        <w:numPr>
          <w:ilvl w:val="0"/>
          <w:numId w:val="18"/>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Original dataset information: </w:t>
      </w:r>
      <w:hyperlink xmlns:r="http://schemas.openxmlformats.org/officeDocument/2006/relationships" r:id="docRId1">
        <w:r>
          <w:rPr>
            <w:rFonts w:ascii="Aptos" w:hAnsi="Aptos" w:cs="Aptos" w:eastAsia="Aptos"/>
            <w:color w:val="0563C1"/>
            <w:spacing w:val="0"/>
            <w:position w:val="0"/>
            <w:sz w:val="21"/>
            <w:u w:val="single"/>
            <w:shd w:fill="auto" w:val="clear"/>
          </w:rPr>
          <w:t xml:space="preserve">Stanford Large Movie Review Dataset</w:t>
        </w:r>
      </w:hyperlink>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Data observations</w:t>
      </w:r>
    </w:p>
    <w:p>
      <w:pPr>
        <w:numPr>
          <w:ilvl w:val="0"/>
          <w:numId w:val="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All three files contain exactly two columns: text and label.</w:t>
      </w:r>
    </w:p>
    <w:p>
      <w:pPr>
        <w:numPr>
          <w:ilvl w:val="0"/>
          <w:numId w:val="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There are no missing values in the supplied files.</w:t>
      </w:r>
    </w:p>
    <w:p>
      <w:pPr>
        <w:numPr>
          <w:ilvl w:val="0"/>
          <w:numId w:val="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classes are close to balanced in every split.</w:t>
      </w:r>
    </w:p>
    <w:p>
      <w:pPr>
        <w:numPr>
          <w:ilvl w:val="0"/>
          <w:numId w:val="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Review text contains HTML line-break tags such as &lt;br /&gt;, which the notebook removes before vectorization.</w:t>
      </w:r>
    </w:p>
    <w:p>
      <w:pPr>
        <w:numPr>
          <w:ilvl w:val="0"/>
          <w:numId w:val="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average review length is approximately 1,300 characters, with a long tail of longer reviews.</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Implementation approach</w:t>
      </w:r>
    </w:p>
    <w:tbl>
      <w:tblPr/>
      <w:tblGrid>
        <w:gridCol w:w="4968"/>
        <w:gridCol w:w="4968"/>
      </w:tblGrid>
      <w:tr>
        <w:trPr>
          <w:trHeight w:val="1" w:hRule="atLeast"/>
          <w:jc w:val="center"/>
        </w:trPr>
        <w:tc>
          <w:tcPr>
            <w:tcW w:w="4968" w:type="dxa"/>
            <w:tcBorders>
              <w:top w:val="single" w:color="d9d9d9" w:sz="6"/>
              <w:left w:val="single" w:color="d9d9d9" w:sz="6"/>
              <w:bottom w:val="single" w:color="d9d9d9" w:sz="6"/>
              <w:right w:val="single" w:color="d9d9d9" w:sz="6"/>
            </w:tcBorders>
            <w:shd w:color="000000" w:fill="1f4e78" w:val="clear"/>
            <w:tcMar>
              <w:left w:w="108" w:type="dxa"/>
              <w:right w:w="108" w:type="dxa"/>
            </w:tcMar>
            <w:vAlign w:val="top"/>
          </w:tcPr>
          <w:p>
            <w:pPr>
              <w:spacing w:before="0" w:after="200" w:line="276"/>
              <w:ind w:right="0" w:left="0" w:firstLine="0"/>
              <w:jc w:val="left"/>
              <w:rPr>
                <w:spacing w:val="0"/>
                <w:position w:val="0"/>
                <w:shd w:fill="auto" w:val="clear"/>
              </w:rPr>
            </w:pPr>
            <w:r>
              <w:rPr>
                <w:rFonts w:ascii="Aptos" w:hAnsi="Aptos" w:cs="Aptos" w:eastAsia="Aptos"/>
                <w:b/>
                <w:color w:val="FFFFFF"/>
                <w:spacing w:val="0"/>
                <w:position w:val="0"/>
                <w:sz w:val="21"/>
                <w:shd w:fill="auto" w:val="clear"/>
              </w:rPr>
              <w:t xml:space="preserve">Stage</w:t>
            </w:r>
          </w:p>
        </w:tc>
        <w:tc>
          <w:tcPr>
            <w:tcW w:w="4968" w:type="dxa"/>
            <w:tcBorders>
              <w:top w:val="single" w:color="d9d9d9" w:sz="6"/>
              <w:left w:val="single" w:color="d9d9d9" w:sz="6"/>
              <w:bottom w:val="single" w:color="d9d9d9" w:sz="6"/>
              <w:right w:val="single" w:color="d9d9d9" w:sz="6"/>
            </w:tcBorders>
            <w:shd w:color="000000" w:fill="1f4e78" w:val="clear"/>
            <w:tcMar>
              <w:left w:w="108" w:type="dxa"/>
              <w:right w:w="108" w:type="dxa"/>
            </w:tcMar>
            <w:vAlign w:val="top"/>
          </w:tcPr>
          <w:p>
            <w:pPr>
              <w:spacing w:before="0" w:after="200" w:line="276"/>
              <w:ind w:right="0" w:left="0" w:firstLine="0"/>
              <w:jc w:val="left"/>
              <w:rPr>
                <w:spacing w:val="0"/>
                <w:position w:val="0"/>
                <w:shd w:fill="auto" w:val="clear"/>
              </w:rPr>
            </w:pPr>
            <w:r>
              <w:rPr>
                <w:rFonts w:ascii="Aptos" w:hAnsi="Aptos" w:cs="Aptos" w:eastAsia="Aptos"/>
                <w:b/>
                <w:color w:val="FFFFFF"/>
                <w:spacing w:val="0"/>
                <w:position w:val="0"/>
                <w:sz w:val="21"/>
                <w:shd w:fill="auto" w:val="clear"/>
              </w:rPr>
              <w:t xml:space="preserve">Specification</w:t>
            </w:r>
          </w:p>
        </w:tc>
      </w:tr>
      <w:tr>
        <w:trPr>
          <w:trHeight w:val="1" w:hRule="atLeast"/>
          <w:jc w:val="center"/>
        </w:trPr>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Preprocessing</w:t>
            </w:r>
          </w:p>
        </w:tc>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HTML unescaping, removal of &lt;br /&gt; tags, and whitespace normalization.</w:t>
            </w:r>
          </w:p>
        </w:tc>
      </w:tr>
      <w:tr>
        <w:trPr>
          <w:trHeight w:val="1" w:hRule="atLeast"/>
          <w:jc w:val="center"/>
        </w:trPr>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Feature extraction</w:t>
            </w:r>
          </w:p>
        </w:tc>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TF-IDF word unigrams and bigrams with sublinear term frequency and a capped vocabulary.</w:t>
            </w:r>
          </w:p>
        </w:tc>
      </w:tr>
      <w:tr>
        <w:trPr>
          <w:trHeight w:val="1" w:hRule="atLeast"/>
          <w:jc w:val="center"/>
        </w:trPr>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Classifier</w:t>
            </w:r>
          </w:p>
        </w:tc>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Logistic regression with regularization and a maximum of 1,000 iterations.</w:t>
            </w:r>
          </w:p>
        </w:tc>
      </w:tr>
      <w:tr>
        <w:trPr>
          <w:trHeight w:val="1" w:hRule="atLeast"/>
          <w:jc w:val="center"/>
        </w:trPr>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Evaluation</w:t>
            </w:r>
          </w:p>
        </w:tc>
        <w:tc>
          <w:tcPr>
            <w:tcW w:w="4968" w:type="dxa"/>
            <w:tcBorders>
              <w:top w:val="single" w:color="d9d9d9" w:sz="6"/>
              <w:left w:val="single" w:color="d9d9d9" w:sz="6"/>
              <w:bottom w:val="single" w:color="d9d9d9" w:sz="6"/>
              <w:right w:val="single" w:color="d9d9d9" w:sz="6"/>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Accuracy, precision, recall, F1, and confusion matrices on validation and test splits.</w:t>
            </w:r>
          </w:p>
        </w:tc>
      </w:tr>
    </w:tbl>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Deliverables</w:t>
      </w:r>
    </w:p>
    <w:p>
      <w:pPr>
        <w:numPr>
          <w:ilvl w:val="0"/>
          <w:numId w:val="3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imdb_sentiment_analysis.ipynb: executable analysis and modeling workflow.</w:t>
      </w:r>
    </w:p>
    <w:p>
      <w:pPr>
        <w:numPr>
          <w:ilvl w:val="0"/>
          <w:numId w:val="3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requirements.txt: Python dependencies for the notebook and report workflow.</w:t>
      </w:r>
    </w:p>
    <w:p>
      <w:pPr>
        <w:numPr>
          <w:ilvl w:val="0"/>
          <w:numId w:val="3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project report: dataset description, links, scope, method, and implementation notes.</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Limitations and next steps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CSV files do not include movie IDs, ratings, or an explicit source URL column, so the source identification is based on the schema, review content, label convention, and split sizes. For a production system, add threshold calibration, error analysis by review length and genre, model persistence, and monitoring for changes in review language. If benchmark comparability matters, verify that movies do not overlap across splits.</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Analytical interpretation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dataset is well suited to a supervised sentiment-analysis project because every review has a corresponding binary label. The three files are nearly balanced, which means accuracy is a useful first summary measure and a majority-class baseline would be close to 50 percent. However, accuracy alone does not show whether one sentiment is being predicted more reliably than the other. For that reason, the notebook also reports precision, recall, F1 score, and a confusion matrix for both validation and test data.</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review text is noisy in a realistic way. Reviews include HTML break tags, punctuation, spelling variation, informal expressions, repeated emphasis, and references to actors, directors, and film titles. These patterns make the data representative of practical text-classification problems. The notebook removes HTML markup and normalizes whitespace while preserving most of the words that carry sentiment information. It does not remove every stop word or stem every token because phrases such as not good, very funny, and never works can be important to sentiment prediction.</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Exploratory data analysis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analysis begins by checking the shape, columns, data types, missing values, duplicate reviews, and label counts in each split. Review length and word count are also calculated. These measures help identify unusually short or unusually long reviews and provide context for model behavior. Seaborn charts show the label balance, the distribution of review lengths, and the relationship between text length and sentiment. This is useful for identifying whether the classifier could be learning a length-related shortcut instead of relying mainly on sentiment-bearing language.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supplied training data contains 40,000 reviews, while validation and test each contain 5,000 reviews. The label counts are close to even in all three files. There are no missing values in the inspected columns. The average review length is approximately 1,300 characters, although the maximum values are much larger. Because long reviews can increase memory use during vectorization, the notebook uses a maximum vocabulary size and minimum document-frequency threshold as practical controls.</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Model design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baseline model combines TF-IDF vectorization with logistic regression. TF-IDF assigns greater weight to words and phrases that are informative within a review but not equally common across the entire corpus. The vectorizer uses both unigrams and bigrams, allowing the model to learn individual words as well as short phrases. Bigrams can capture expressions such as highly recommended, waste of time, and not worth, which are often more informative than isolated words.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Logistic regression is appropriate for this task because it is efficient for sparse text features, produces a clear binary decision, and provides a strong baseline for comparison with more complex models. The regularization parameter is set to control overfitting, and the maximum iteration count is increased so that the optimizer has enough opportunity to converge on the large sparse feature matrix. The entire vectorizer and classifier are placed in one pipeline so that preprocessing learned from training data is not accidentally fitted on validation or test data.</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Evaluation and reproducibility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validation split is used as an intermediate check during model development. The test split is evaluated after the pipeline has been selected. The classification report gives per-class precision, recall, and F1 score, while the confusion matrix shows the number of correct and incorrect negative and positive predictions. A fair comparison should use the same preprocessing, split definitions, and metrics for every candidate model. The notebook is reproducible because it reads the three named CSV files, applies deterministic text cleaning, and records the complete modeling procedure in visible cells.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For Google Colab, the CSV files can be uploaded directly with the Colab file-upload control. No dataset download is required by the notebook. The requirements file lists pandas, NumPy, scikit-learn, matplotlib, seaborn, Jupyter, and notebook packages. The README explains the upload process and the order in which the cells should be run. This makes the project accessible both for local execution and for a browser-based demonstration.</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Potential improvements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Several extensions could improve the system. A linear support-vector classifier and character n-gram model would provide useful alternative baselines. Hyperparameter search could compare regularization strengths, vocabulary limits, and n-gram ranges using only the training and validation data. Error analysis should inspect reviews that contain mixed opinions, sarcasm, plot summaries with limited sentiment, and very short comments. A transformer model could capture longer context, but it would require more compute and careful fine-tuning.</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Before production use, the project should also validate the split construction and confirm that reviews from the same movie do not appear across training and evaluation files. If the model is used to support content moderation, recommendation, or customer research, probability calibration and human review may be necessary for uncertain cases. Monitoring should track changes in vocabulary, review length, class balance, and performance over time.</w:t>
      </w:r>
    </w:p>
    <w:p>
      <w:pPr>
        <w:keepNext w:val="true"/>
        <w:keepLines w:val="true"/>
        <w:spacing w:before="480" w:after="0" w:line="276"/>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Conclusion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project provides a complete and reproducible starting point for IMDb review sentiment analysis. It combines practical data analytics with a transparent machine-learning baseline, documents the source and assumptions, and produces evaluation outputs that can be extended in later experiments. The central project objective is to transform raw review text into reliable sentiment predictions while keeping the analysis understandable, repeatable, and suitable for comparison with stronger NLP approaches.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8">
    <w:abstractNumId w:val="12"/>
  </w:num>
  <w:num w:numId="20">
    <w:abstractNumId w:val="6"/>
  </w:num>
  <w:num w:numId="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kaggle.com/datasets/lakshmi25npathi/imdb-dataset-of-50k-movie-reviews" Id="docRId0" Type="http://schemas.openxmlformats.org/officeDocument/2006/relationships/hyperlink" /><Relationship TargetMode="External" Target="https://ai.stanford.edu/~amaas/data/sentiment/"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