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TASK 4 – ADVANCED ANALYTICS &amp; STATISTICAL MODELING</w:t>
      </w:r>
    </w:p>
    <w:p>
      <w:pPr>
        <w:jc w:val="center"/>
      </w:pPr>
      <w:r>
        <w:rPr>
          <w:b/>
        </w:rPr>
        <w:t>Sample Superstore Dataset | 8,827 records | 790 customers</w:t>
      </w:r>
    </w:p>
    <w:p>
      <w:pPr>
        <w:pStyle w:val="Heading1"/>
      </w:pPr>
      <w:r>
        <w:t>1. Objective</w:t>
      </w:r>
    </w:p>
    <w:p>
      <w:r>
        <w:t>Apply descriptive statistics, hypothesis testing, confidence intervals, time-series analysis, customer segmentation using K-Means clustering, and a basic predictive model to derive business insights.</w:t>
      </w:r>
    </w:p>
    <w:p>
      <w:pPr>
        <w:pStyle w:val="Heading1"/>
      </w:pPr>
      <w:r>
        <w:t>2. Dataset Overview</w:t>
      </w:r>
    </w:p>
    <w:p>
      <w:r>
        <w:t>The dataset contains 8,827 transaction records and 790 unique customers. The analysis uses Order Date, Sales, Quantity, Discount, Profit, customer attributes, product attributes, region and shipping information.</w:t>
      </w:r>
    </w:p>
    <w:p>
      <w:pPr>
        <w:pStyle w:val="Heading1"/>
      </w:pPr>
      <w:r>
        <w:t>3. Descriptive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Median</w:t>
            </w:r>
          </w:p>
        </w:tc>
        <w:tc>
          <w:tcPr>
            <w:tcW w:type="dxa" w:w="1234"/>
          </w:tcPr>
          <w:p>
            <w:r>
              <w:t>Std Dev</w:t>
            </w:r>
          </w:p>
        </w:tc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Skewness</w:t>
            </w:r>
          </w:p>
        </w:tc>
      </w:tr>
      <w:tr>
        <w:tc>
          <w:tcPr>
            <w:tcW w:type="dxa" w:w="1234"/>
          </w:tcPr>
          <w:p>
            <w:r>
              <w:t>Sales</w:t>
            </w:r>
          </w:p>
        </w:tc>
        <w:tc>
          <w:tcPr>
            <w:tcW w:type="dxa" w:w="1234"/>
          </w:tcPr>
          <w:p>
            <w:r>
              <w:t>92.8649</w:t>
            </w:r>
          </w:p>
        </w:tc>
        <w:tc>
          <w:tcPr>
            <w:tcW w:type="dxa" w:w="1234"/>
          </w:tcPr>
          <w:p>
            <w:r>
              <w:t>40.8800</w:t>
            </w:r>
          </w:p>
        </w:tc>
        <w:tc>
          <w:tcPr>
            <w:tcW w:type="dxa" w:w="1234"/>
          </w:tcPr>
          <w:p>
            <w:r>
              <w:t>114.0451</w:t>
            </w:r>
          </w:p>
        </w:tc>
        <w:tc>
          <w:tcPr>
            <w:tcW w:type="dxa" w:w="1234"/>
          </w:tcPr>
          <w:p>
            <w:r>
              <w:t>0.4440</w:t>
            </w:r>
          </w:p>
        </w:tc>
        <w:tc>
          <w:tcPr>
            <w:tcW w:type="dxa" w:w="1234"/>
          </w:tcPr>
          <w:p>
            <w:r>
              <w:t>498.2600</w:t>
            </w:r>
          </w:p>
        </w:tc>
        <w:tc>
          <w:tcPr>
            <w:tcW w:type="dxa" w:w="1234"/>
          </w:tcPr>
          <w:p>
            <w:r>
              <w:t>1.6850</w:t>
            </w:r>
          </w:p>
        </w:tc>
      </w:tr>
      <w:tr>
        <w:tc>
          <w:tcPr>
            <w:tcW w:type="dxa" w:w="1234"/>
          </w:tcPr>
          <w:p>
            <w:r>
              <w:t>Quantity</w:t>
            </w:r>
          </w:p>
        </w:tc>
        <w:tc>
          <w:tcPr>
            <w:tcW w:type="dxa" w:w="1234"/>
          </w:tcPr>
          <w:p>
            <w:r>
              <w:t>3.6086</w:t>
            </w:r>
          </w:p>
        </w:tc>
        <w:tc>
          <w:tcPr>
            <w:tcW w:type="dxa" w:w="1234"/>
          </w:tcPr>
          <w:p>
            <w:r>
              <w:t>3.0000</w:t>
            </w:r>
          </w:p>
        </w:tc>
        <w:tc>
          <w:tcPr>
            <w:tcW w:type="dxa" w:w="1234"/>
          </w:tcPr>
          <w:p>
            <w:r>
              <w:t>2.1293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14.0000</w:t>
            </w:r>
          </w:p>
        </w:tc>
        <w:tc>
          <w:tcPr>
            <w:tcW w:type="dxa" w:w="1234"/>
          </w:tcPr>
          <w:p>
            <w:r>
              <w:t>1.3503</w:t>
            </w:r>
          </w:p>
        </w:tc>
      </w:tr>
      <w:tr>
        <w:tc>
          <w:tcPr>
            <w:tcW w:type="dxa" w:w="1234"/>
          </w:tcPr>
          <w:p>
            <w:r>
              <w:t>Discount</w:t>
            </w:r>
          </w:p>
        </w:tc>
        <w:tc>
          <w:tcPr>
            <w:tcW w:type="dxa" w:w="1234"/>
          </w:tcPr>
          <w:p>
            <w:r>
              <w:t>0.1576</w:t>
            </w:r>
          </w:p>
        </w:tc>
        <w:tc>
          <w:tcPr>
            <w:tcW w:type="dxa" w:w="1234"/>
          </w:tcPr>
          <w:p>
            <w:r>
              <w:t>0.2000</w:t>
            </w:r>
          </w:p>
        </w:tc>
        <w:tc>
          <w:tcPr>
            <w:tcW w:type="dxa" w:w="1234"/>
          </w:tcPr>
          <w:p>
            <w:r>
              <w:t>0.2115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0.8000</w:t>
            </w:r>
          </w:p>
        </w:tc>
        <w:tc>
          <w:tcPr>
            <w:tcW w:type="dxa" w:w="1234"/>
          </w:tcPr>
          <w:p>
            <w:r>
              <w:t>1.6878</w:t>
            </w:r>
          </w:p>
        </w:tc>
      </w:tr>
      <w:tr>
        <w:tc>
          <w:tcPr>
            <w:tcW w:type="dxa" w:w="1234"/>
          </w:tcPr>
          <w:p>
            <w:r>
              <w:t>Profit</w:t>
            </w:r>
          </w:p>
        </w:tc>
        <w:tc>
          <w:tcPr>
            <w:tcW w:type="dxa" w:w="1234"/>
          </w:tcPr>
          <w:p>
            <w:r>
              <w:t>11.1986</w:t>
            </w:r>
          </w:p>
        </w:tc>
        <w:tc>
          <w:tcPr>
            <w:tcW w:type="dxa" w:w="1234"/>
          </w:tcPr>
          <w:p>
            <w:r>
              <w:t>7.4376</w:t>
            </w:r>
          </w:p>
        </w:tc>
        <w:tc>
          <w:tcPr>
            <w:tcW w:type="dxa" w:w="1234"/>
          </w:tcPr>
          <w:p>
            <w:r>
              <w:t>49.0661</w:t>
            </w:r>
          </w:p>
        </w:tc>
        <w:tc>
          <w:tcPr>
            <w:tcW w:type="dxa" w:w="1234"/>
          </w:tcPr>
          <w:p>
            <w:r>
              <w:t>-1181.2824</w:t>
            </w:r>
          </w:p>
        </w:tc>
        <w:tc>
          <w:tcPr>
            <w:tcW w:type="dxa" w:w="1234"/>
          </w:tcPr>
          <w:p>
            <w:r>
              <w:t>240.8595</w:t>
            </w:r>
          </w:p>
        </w:tc>
        <w:tc>
          <w:tcPr>
            <w:tcW w:type="dxa" w:w="1234"/>
          </w:tcPr>
          <w:p>
            <w:r>
              <w:t>-4.7133</w:t>
            </w:r>
          </w:p>
        </w:tc>
      </w:tr>
    </w:tbl>
    <w:p>
      <w:r>
        <w:t>Sales and Quantity are positively skewed. Profit is strongly negatively skewed because a small number of orders have very large losses. Therefore, mean values should be interpreted together with medians.</w:t>
      </w:r>
    </w:p>
    <w:p>
      <w:pPr>
        <w:pStyle w:val="Heading1"/>
      </w:pPr>
      <w:r>
        <w:t>4. Hypothesis Testing</w:t>
      </w:r>
    </w:p>
    <w:p>
      <w:r>
        <w:t>A) Independent two-sample Welch t-test</w:t>
      </w:r>
    </w:p>
    <w:p>
      <w:r>
        <w:t>H0: Mean Sales of Consumer and Corporate segments are equal.</w:t>
        <w:br/>
        <w:t>H1: The means are different.</w:t>
        <w:br/>
        <w:t>Consumer mean sales = 94.62; Corporate mean sales = 91.02.</w:t>
        <w:br/>
        <w:t>t = 1.3064, p-value = 0.1915.</w:t>
      </w:r>
    </w:p>
    <w:p>
      <w:r>
        <w:t>Decision at α = 0.05: Fail to reject H0. The dataset does not provide statistically significant evidence that average order-line Sales differ between Consumer and Corporate segments.</w:t>
      </w:r>
    </w:p>
    <w:p>
      <w:r>
        <w:t>B) Chi-square test of independence: Region vs Category</w:t>
      </w:r>
    </w:p>
    <w:p>
      <w:r>
        <w:t>χ² = 2.9217, df = 6, p-value = 0.8186. Decision at α = 0.05: Fail to reject H0. Region and Category do not show a statistically significant association in this dataset.</w:t>
      </w:r>
    </w:p>
    <w:p>
      <w:pPr>
        <w:pStyle w:val="Heading1"/>
      </w:pPr>
      <w:r>
        <w:t>5. Confidence Intervals</w:t>
      </w:r>
    </w:p>
    <w:p>
      <w:r>
        <w:t>95% CI for mean Sales: [90.49, 95.24]</w:t>
        <w:br/>
        <w:t>95% CI for mean Profit: [10.17, 12.22]</w:t>
      </w:r>
    </w:p>
    <w:p>
      <w:pPr>
        <w:pStyle w:val="Heading1"/>
      </w:pPr>
      <w:r>
        <w:t>6. Time-Series Analysis</w:t>
      </w:r>
    </w:p>
    <w:p>
      <w:r>
        <w:t>Order Date was converted to monthly time-series format. A 3-month moving average was used as a simple forecasting method. The forecast is recursive: each future month uses the latest three observed/forecast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thly_sales_foreca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Next three estimated monthly Sales values: 31,397.30, 34,575.31, 33,836.43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8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ime_series_de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Customer Segmentation using K-Means</w:t>
      </w:r>
    </w:p>
    <w:p>
      <w:r>
        <w:t>RFM features were created at customer level: Recency (days since last order), Frequency (unique orders), and Monetary (total Sales). Features were standardized using StandardScaler and clustered with K-Means using 4 clusters. Silhouette score = 0.326.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Cluster</w:t>
            </w:r>
          </w:p>
        </w:tc>
        <w:tc>
          <w:tcPr>
            <w:tcW w:type="dxa" w:w="1440"/>
          </w:tcPr>
          <w:p>
            <w:r>
              <w:t>Segment</w:t>
            </w:r>
          </w:p>
        </w:tc>
        <w:tc>
          <w:tcPr>
            <w:tcW w:type="dxa" w:w="1440"/>
          </w:tcPr>
          <w:p>
            <w:r>
              <w:t>Customers</w:t>
            </w:r>
          </w:p>
        </w:tc>
        <w:tc>
          <w:tcPr>
            <w:tcW w:type="dxa" w:w="1440"/>
          </w:tcPr>
          <w:p>
            <w:r>
              <w:t>Avg Recency</w:t>
            </w:r>
          </w:p>
        </w:tc>
        <w:tc>
          <w:tcPr>
            <w:tcW w:type="dxa" w:w="1440"/>
          </w:tcPr>
          <w:p>
            <w:r>
              <w:t>Avg Frequency</w:t>
            </w:r>
          </w:p>
        </w:tc>
        <w:tc>
          <w:tcPr>
            <w:tcW w:type="dxa" w:w="1440"/>
          </w:tcPr>
          <w:p>
            <w:r>
              <w:t>Avg Monetary</w:t>
            </w:r>
          </w:p>
        </w:tc>
      </w:tr>
      <w:tr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Regular Customers</w:t>
            </w:r>
          </w:p>
        </w:tc>
        <w:tc>
          <w:tcPr>
            <w:tcW w:type="dxa" w:w="1440"/>
          </w:tcPr>
          <w:p>
            <w:r>
              <w:t>262</w:t>
            </w:r>
          </w:p>
        </w:tc>
        <w:tc>
          <w:tcPr>
            <w:tcW w:type="dxa" w:w="1440"/>
          </w:tcPr>
          <w:p>
            <w:r>
              <w:t>105.50</w:t>
            </w:r>
          </w:p>
        </w:tc>
        <w:tc>
          <w:tcPr>
            <w:tcW w:type="dxa" w:w="1440"/>
          </w:tcPr>
          <w:p>
            <w:r>
              <w:t>4.21</w:t>
            </w:r>
          </w:p>
        </w:tc>
        <w:tc>
          <w:tcPr>
            <w:tcW w:type="dxa" w:w="1440"/>
          </w:tcPr>
          <w:p>
            <w:r>
              <w:t>554.94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High-Value Customers</w:t>
            </w:r>
          </w:p>
        </w:tc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83.70</w:t>
            </w:r>
          </w:p>
        </w:tc>
        <w:tc>
          <w:tcPr>
            <w:tcW w:type="dxa" w:w="1440"/>
          </w:tcPr>
          <w:p>
            <w:r>
              <w:t>9.58</w:t>
            </w:r>
          </w:p>
        </w:tc>
        <w:tc>
          <w:tcPr>
            <w:tcW w:type="dxa" w:w="1440"/>
          </w:tcPr>
          <w:p>
            <w:r>
              <w:t>2150.37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Loyal / Frequent Customers</w:t>
            </w:r>
          </w:p>
        </w:tc>
        <w:tc>
          <w:tcPr>
            <w:tcW w:type="dxa" w:w="1440"/>
          </w:tcPr>
          <w:p>
            <w:r>
              <w:t>306</w:t>
            </w:r>
          </w:p>
        </w:tc>
        <w:tc>
          <w:tcPr>
            <w:tcW w:type="dxa" w:w="1440"/>
          </w:tcPr>
          <w:p>
            <w:r>
              <w:t>86.30</w:t>
            </w:r>
          </w:p>
        </w:tc>
        <w:tc>
          <w:tcPr>
            <w:tcW w:type="dxa" w:w="1440"/>
          </w:tcPr>
          <w:p>
            <w:r>
              <w:t>7.02</w:t>
            </w:r>
          </w:p>
        </w:tc>
        <w:tc>
          <w:tcPr>
            <w:tcW w:type="dxa" w:w="1440"/>
          </w:tcPr>
          <w:p>
            <w:r>
              <w:t>1189.69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At-Risk / Inactive Customers</w:t>
            </w:r>
          </w:p>
        </w:tc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569.50</w:t>
            </w:r>
          </w:p>
        </w:tc>
        <w:tc>
          <w:tcPr>
            <w:tcW w:type="dxa" w:w="1440"/>
          </w:tcPr>
          <w:p>
            <w:r>
              <w:t>3.61</w:t>
            </w:r>
          </w:p>
        </w:tc>
        <w:tc>
          <w:tcPr>
            <w:tcW w:type="dxa" w:w="1440"/>
          </w:tcPr>
          <w:p>
            <w:r>
              <w:t>617.32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ustomer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uster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Cluster Recommendations</w:t>
      </w:r>
    </w:p>
    <w:p>
      <w:r>
        <w:t>High-Value Customers: Protect with VIP offers, premium bundles, early access and personalized retention campaigns.</w:t>
      </w:r>
    </w:p>
    <w:p>
      <w:r>
        <w:t>Loyal / Frequent Customers: Encourage cross-selling, repeat purchases and loyalty rewards.</w:t>
      </w:r>
    </w:p>
    <w:p>
      <w:r>
        <w:t>Regular Customers: Use targeted promotions and product recommendations to increase frequency and basket size.</w:t>
      </w:r>
    </w:p>
    <w:p>
      <w:r>
        <w:t>At-Risk / Inactive Customers: Run win-back campaigns, reminders and personalized discounts based on prior purchases.</w:t>
      </w:r>
    </w:p>
    <w:p>
      <w:pPr>
        <w:pStyle w:val="Heading1"/>
      </w:pPr>
      <w:r>
        <w:t>8. Basic Predictive Modeling</w:t>
      </w:r>
    </w:p>
    <w:p>
      <w:r>
        <w:t>A Linear Regression model was built to predict Sales using Quantity, Discount, Region, Category, Sub-Category, Segment and Ship Mode. The data was split into 80% training and 20% testing data. Categorical variables were one-hot encoded.</w:t>
      </w:r>
    </w:p>
    <w:p>
      <w:r>
        <w:t>R² = 0.389</w:t>
        <w:br/>
        <w:t>RMSE = 89.99</w:t>
        <w:br/>
        <w:t>MAE = 62.17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p_model_feat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Top 3 model features by absolute coefficient:</w:t>
      </w:r>
    </w:p>
    <w:p>
      <w:r>
        <w:t>Sub-Category_Copiers: coefficient 222.05</w:t>
      </w:r>
    </w:p>
    <w:p>
      <w:r>
        <w:t>Sub-Category_Furnishings: coefficient -133.32</w:t>
      </w:r>
    </w:p>
    <w:p>
      <w:r>
        <w:t>Sub-Category_Accessories: coefficient -118.46</w:t>
      </w:r>
    </w:p>
    <w:p>
      <w:pPr>
        <w:pStyle w:val="Heading1"/>
      </w:pPr>
      <w:r>
        <w:t>9. Business Insights</w:t>
      </w:r>
    </w:p>
    <w:p>
      <w:r>
        <w:t>Average order-line Sales is 92.86, while the median is 40.88, showing a right-skewed sales distribution.</w:t>
      </w:r>
    </w:p>
    <w:p>
      <w:r>
        <w:t>Average Profit is 11.20; the large negative skew indicates that a small number of transactions create unusually large losses.</w:t>
      </w:r>
    </w:p>
    <w:p>
      <w:r>
        <w:t>The Consumer vs Corporate Sales comparison was not statistically significant at the 5% level.</w:t>
      </w:r>
    </w:p>
    <w:p>
      <w:r>
        <w:t>Region and Category were not statistically significantly associated based on the chi-square test.</w:t>
      </w:r>
    </w:p>
    <w:p>
      <w:r>
        <w:t>Customer segmentation reveals a clearly inactive/high-recency group that is suitable for win-back campaigns.</w:t>
      </w:r>
    </w:p>
    <w:p>
      <w:r>
        <w:t>The high-value cluster should receive retention and premium cross-sell attention because it has the strongest monetary value.</w:t>
      </w:r>
    </w:p>
    <w:p>
      <w:r>
        <w:t>The simple regression explains about 38.9% of the variance in Sales on the held-out test set, so it is useful as a baseline rather than a final production model.</w:t>
      </w:r>
    </w:p>
    <w:p>
      <w:pPr>
        <w:pStyle w:val="Heading1"/>
      </w:pPr>
      <w:r>
        <w:t>10. Conclusion</w:t>
      </w:r>
    </w:p>
    <w:p>
      <w:r>
        <w:t>Task 4 is completed using statistical analysis, hypothesis testing, confidence intervals, time-series forecasting, K-Means customer segmentation and a baseline predictive model. The results can be extended with advanced forecasting (ARIMA/Prophet), hyperparameter tuning, cross-validation and classification models when a suitable business target such as churn is available.</w:t>
      </w:r>
    </w:p>
    <w:p>
      <w:pPr>
        <w:pStyle w:val="Heading1"/>
      </w:pPr>
      <w:r>
        <w:t>11. Deliverables</w:t>
      </w:r>
    </w:p>
    <w:p>
      <w:r>
        <w:t>The accompanying folder contains the analysis notebook, Excel workbook, statistical tables, monthly forecast, customer cluster assignments, model feature importance and charts.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