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34162" w14:textId="07953088" w:rsidR="00622118" w:rsidRPr="00FC3E14" w:rsidRDefault="00622118" w:rsidP="00A928D4">
      <w:pPr>
        <w:spacing w:after="0" w:line="240" w:lineRule="auto"/>
        <w:ind w:firstLine="720"/>
        <w:jc w:val="lowKashida"/>
        <w:rPr>
          <w:rFonts w:asciiTheme="majorBidi" w:hAnsiTheme="majorBidi" w:cstheme="majorBidi"/>
          <w:sz w:val="28"/>
          <w:szCs w:val="28"/>
        </w:rPr>
      </w:pPr>
      <w:r w:rsidRPr="00FC3E14">
        <w:rPr>
          <w:rFonts w:asciiTheme="majorBidi" w:hAnsiTheme="majorBidi" w:cstheme="majorBidi"/>
          <w:sz w:val="28"/>
          <w:szCs w:val="28"/>
        </w:rPr>
        <w:t>Circular Economy Engagement: Unveiling Consumer Perspectives</w:t>
      </w:r>
      <w:r w:rsidR="00A928D4" w:rsidRPr="00FC3E14">
        <w:rPr>
          <w:rFonts w:asciiTheme="majorBidi" w:hAnsiTheme="majorBidi" w:cstheme="majorBidi"/>
          <w:sz w:val="28"/>
          <w:szCs w:val="28"/>
        </w:rPr>
        <w:t xml:space="preserve"> in Qatar</w:t>
      </w:r>
    </w:p>
    <w:p w14:paraId="12D046D0" w14:textId="77777777" w:rsidR="00622118" w:rsidRPr="00D20CA8" w:rsidRDefault="00622118" w:rsidP="005C0E20">
      <w:pPr>
        <w:spacing w:after="0" w:line="240" w:lineRule="auto"/>
        <w:jc w:val="lowKashida"/>
        <w:rPr>
          <w:rFonts w:asciiTheme="majorBidi" w:hAnsiTheme="majorBidi" w:cstheme="majorBidi"/>
          <w:sz w:val="24"/>
          <w:szCs w:val="24"/>
        </w:rPr>
      </w:pPr>
    </w:p>
    <w:p w14:paraId="530B123B" w14:textId="468D49C2" w:rsidR="00FE401E" w:rsidRDefault="00622118" w:rsidP="00FE401E">
      <w:pPr>
        <w:spacing w:after="0" w:line="240" w:lineRule="auto"/>
        <w:ind w:firstLine="720"/>
        <w:jc w:val="center"/>
        <w:rPr>
          <w:rFonts w:asciiTheme="majorBidi" w:hAnsiTheme="majorBidi" w:cstheme="majorBidi"/>
          <w:sz w:val="24"/>
          <w:szCs w:val="24"/>
        </w:rPr>
      </w:pPr>
      <w:r w:rsidRPr="00D20CA8">
        <w:rPr>
          <w:rFonts w:asciiTheme="majorBidi" w:hAnsiTheme="majorBidi" w:cstheme="majorBidi"/>
          <w:sz w:val="24"/>
          <w:szCs w:val="24"/>
        </w:rPr>
        <w:t>Nasim Shah Shirazi</w:t>
      </w:r>
      <w:r w:rsidRPr="00D20CA8">
        <w:rPr>
          <w:rStyle w:val="FootnoteReference"/>
          <w:rFonts w:asciiTheme="majorBidi" w:hAnsiTheme="majorBidi" w:cstheme="majorBidi"/>
          <w:sz w:val="24"/>
          <w:szCs w:val="24"/>
        </w:rPr>
        <w:footnoteReference w:id="1"/>
      </w:r>
      <w:r w:rsidR="00FE401E">
        <w:rPr>
          <w:rFonts w:asciiTheme="majorBidi" w:hAnsiTheme="majorBidi" w:cstheme="majorBidi"/>
          <w:sz w:val="24"/>
          <w:szCs w:val="24"/>
        </w:rPr>
        <w:t xml:space="preserve"> (</w:t>
      </w:r>
      <w:hyperlink r:id="rId8" w:history="1">
        <w:r w:rsidR="00FE401E" w:rsidRPr="00176070">
          <w:rPr>
            <w:rStyle w:val="Hyperlink"/>
            <w:rFonts w:asciiTheme="majorBidi" w:hAnsiTheme="majorBidi" w:cstheme="majorBidi"/>
            <w:sz w:val="24"/>
            <w:szCs w:val="24"/>
          </w:rPr>
          <w:t>nshrazi@hbku.edu.qa</w:t>
        </w:r>
      </w:hyperlink>
      <w:r w:rsidR="00FE401E">
        <w:rPr>
          <w:rFonts w:asciiTheme="majorBidi" w:hAnsiTheme="majorBidi" w:cstheme="majorBidi"/>
          <w:sz w:val="24"/>
          <w:szCs w:val="24"/>
        </w:rPr>
        <w:t xml:space="preserve">), </w:t>
      </w:r>
      <w:r w:rsidRPr="00D20CA8">
        <w:rPr>
          <w:rFonts w:asciiTheme="majorBidi" w:hAnsiTheme="majorBidi" w:cstheme="majorBidi"/>
          <w:sz w:val="24"/>
          <w:szCs w:val="24"/>
        </w:rPr>
        <w:t>Syed Nazim Ali</w:t>
      </w:r>
      <w:r w:rsidRPr="00D20CA8">
        <w:rPr>
          <w:rStyle w:val="FootnoteReference"/>
          <w:rFonts w:asciiTheme="majorBidi" w:hAnsiTheme="majorBidi" w:cstheme="majorBidi"/>
          <w:sz w:val="24"/>
          <w:szCs w:val="24"/>
        </w:rPr>
        <w:footnoteReference w:id="2"/>
      </w:r>
      <w:r w:rsidRPr="00D20CA8">
        <w:rPr>
          <w:rFonts w:asciiTheme="majorBidi" w:hAnsiTheme="majorBidi" w:cstheme="majorBidi"/>
          <w:sz w:val="24"/>
          <w:szCs w:val="24"/>
        </w:rPr>
        <w:t xml:space="preserve"> </w:t>
      </w:r>
      <w:r w:rsidR="00FE401E">
        <w:rPr>
          <w:rFonts w:asciiTheme="majorBidi" w:hAnsiTheme="majorBidi" w:cstheme="majorBidi"/>
          <w:sz w:val="24"/>
          <w:szCs w:val="24"/>
        </w:rPr>
        <w:t>(</w:t>
      </w:r>
      <w:hyperlink r:id="rId9" w:history="1">
        <w:r w:rsidR="00FE401E" w:rsidRPr="00176070">
          <w:rPr>
            <w:rStyle w:val="Hyperlink"/>
            <w:rFonts w:asciiTheme="majorBidi" w:hAnsiTheme="majorBidi" w:cstheme="majorBidi"/>
            <w:sz w:val="24"/>
            <w:szCs w:val="24"/>
          </w:rPr>
          <w:t>snali@hbku.edu.qa</w:t>
        </w:r>
      </w:hyperlink>
      <w:r w:rsidR="00FE401E">
        <w:rPr>
          <w:rFonts w:asciiTheme="majorBidi" w:hAnsiTheme="majorBidi" w:cstheme="majorBidi"/>
          <w:sz w:val="24"/>
          <w:szCs w:val="24"/>
        </w:rPr>
        <w:t>)</w:t>
      </w:r>
    </w:p>
    <w:p w14:paraId="3D1C544A" w14:textId="77777777" w:rsidR="00FE401E" w:rsidRDefault="00622118" w:rsidP="00FE401E">
      <w:pPr>
        <w:spacing w:after="0" w:line="240" w:lineRule="auto"/>
        <w:ind w:firstLine="720"/>
        <w:jc w:val="center"/>
        <w:rPr>
          <w:rFonts w:asciiTheme="majorBidi" w:hAnsiTheme="majorBidi" w:cstheme="majorBidi"/>
          <w:sz w:val="24"/>
          <w:szCs w:val="24"/>
        </w:rPr>
      </w:pPr>
      <w:r w:rsidRPr="00D20CA8">
        <w:rPr>
          <w:rFonts w:asciiTheme="majorBidi" w:hAnsiTheme="majorBidi" w:cstheme="majorBidi"/>
          <w:sz w:val="24"/>
          <w:szCs w:val="24"/>
        </w:rPr>
        <w:t xml:space="preserve">and  </w:t>
      </w:r>
    </w:p>
    <w:p w14:paraId="5B3956ED" w14:textId="4464276C" w:rsidR="00622118" w:rsidRDefault="00622118" w:rsidP="00FE401E">
      <w:pPr>
        <w:spacing w:after="0" w:line="240" w:lineRule="auto"/>
        <w:ind w:firstLine="720"/>
        <w:jc w:val="center"/>
        <w:rPr>
          <w:rFonts w:asciiTheme="majorBidi" w:hAnsiTheme="majorBidi" w:cstheme="majorBidi"/>
          <w:sz w:val="24"/>
          <w:szCs w:val="24"/>
        </w:rPr>
      </w:pPr>
      <w:r w:rsidRPr="00D20CA8">
        <w:rPr>
          <w:rFonts w:asciiTheme="majorBidi" w:hAnsiTheme="majorBidi" w:cstheme="majorBidi"/>
          <w:sz w:val="24"/>
          <w:szCs w:val="24"/>
        </w:rPr>
        <w:t>Bushra Faizi</w:t>
      </w:r>
      <w:r w:rsidRPr="00D20CA8">
        <w:rPr>
          <w:rStyle w:val="FootnoteReference"/>
          <w:rFonts w:asciiTheme="majorBidi" w:hAnsiTheme="majorBidi" w:cstheme="majorBidi"/>
          <w:sz w:val="24"/>
          <w:szCs w:val="24"/>
        </w:rPr>
        <w:footnoteReference w:id="3"/>
      </w:r>
      <w:r w:rsidR="00FE401E">
        <w:rPr>
          <w:rFonts w:asciiTheme="majorBidi" w:hAnsiTheme="majorBidi" w:cstheme="majorBidi"/>
          <w:sz w:val="24"/>
          <w:szCs w:val="24"/>
        </w:rPr>
        <w:t>(</w:t>
      </w:r>
      <w:hyperlink r:id="rId10" w:history="1">
        <w:r w:rsidR="00FC3E14" w:rsidRPr="00531B56">
          <w:rPr>
            <w:rStyle w:val="Hyperlink"/>
            <w:rFonts w:asciiTheme="majorBidi" w:hAnsiTheme="majorBidi" w:cstheme="majorBidi"/>
            <w:sz w:val="24"/>
            <w:szCs w:val="24"/>
          </w:rPr>
          <w:t>amberbushra1@gmail.com</w:t>
        </w:r>
      </w:hyperlink>
      <w:r w:rsidR="00FE401E">
        <w:rPr>
          <w:rFonts w:asciiTheme="majorBidi" w:hAnsiTheme="majorBidi" w:cstheme="majorBidi"/>
          <w:sz w:val="24"/>
          <w:szCs w:val="24"/>
        </w:rPr>
        <w:t>)</w:t>
      </w:r>
    </w:p>
    <w:p w14:paraId="41C8B93C" w14:textId="77777777" w:rsidR="00622118" w:rsidRPr="00D20CA8" w:rsidRDefault="00622118" w:rsidP="005C0E20">
      <w:pPr>
        <w:spacing w:after="0" w:line="240" w:lineRule="auto"/>
        <w:jc w:val="lowKashida"/>
        <w:rPr>
          <w:rFonts w:asciiTheme="majorBidi" w:hAnsiTheme="majorBidi" w:cstheme="majorBidi"/>
          <w:sz w:val="24"/>
          <w:szCs w:val="24"/>
        </w:rPr>
      </w:pPr>
    </w:p>
    <w:p w14:paraId="549030FA" w14:textId="0607C461" w:rsidR="00900A0E" w:rsidRPr="00D20CA8" w:rsidRDefault="00900A0E" w:rsidP="00382510">
      <w:pPr>
        <w:jc w:val="center"/>
        <w:rPr>
          <w:rFonts w:asciiTheme="majorBidi" w:hAnsiTheme="majorBidi" w:cstheme="majorBidi"/>
          <w:sz w:val="24"/>
          <w:szCs w:val="24"/>
        </w:rPr>
      </w:pPr>
      <w:r w:rsidRPr="00D20CA8">
        <w:rPr>
          <w:rFonts w:asciiTheme="majorBidi" w:hAnsiTheme="majorBidi" w:cstheme="majorBidi"/>
          <w:sz w:val="24"/>
          <w:szCs w:val="24"/>
        </w:rPr>
        <w:t>Abstract</w:t>
      </w:r>
    </w:p>
    <w:p w14:paraId="3AB3C9CD" w14:textId="5D29FEDD" w:rsidR="00900A0E" w:rsidRDefault="00900A0E" w:rsidP="005C0E20">
      <w:pPr>
        <w:jc w:val="lowKashida"/>
        <w:rPr>
          <w:rFonts w:asciiTheme="majorBidi" w:hAnsiTheme="majorBidi" w:cstheme="majorBidi"/>
          <w:i/>
          <w:iCs/>
          <w:sz w:val="20"/>
          <w:szCs w:val="20"/>
        </w:rPr>
      </w:pPr>
      <w:r w:rsidRPr="00382510">
        <w:rPr>
          <w:rFonts w:asciiTheme="majorBidi" w:hAnsiTheme="majorBidi" w:cstheme="majorBidi"/>
          <w:i/>
          <w:iCs/>
          <w:sz w:val="20"/>
          <w:szCs w:val="20"/>
        </w:rPr>
        <w:t>The circular economy (CE) necessitates a shift in consumer behavior, prompting a reassessment of traditional consumption patterns. This research delves into the consumer perspective, examining perceptions and pro-environmental behaviors to analyze various aspects of circularity through participatory research with individual consumers in Qatar. Logistic regression estimates from survey data highlight the positive impact of education and awareness on consumer engagement in the circular economy.</w:t>
      </w:r>
      <w:r w:rsidR="00382510">
        <w:rPr>
          <w:rFonts w:asciiTheme="majorBidi" w:hAnsiTheme="majorBidi" w:cstheme="majorBidi"/>
          <w:i/>
          <w:iCs/>
          <w:sz w:val="20"/>
          <w:szCs w:val="20"/>
        </w:rPr>
        <w:t xml:space="preserve"> </w:t>
      </w:r>
      <w:r w:rsidRPr="00382510">
        <w:rPr>
          <w:rFonts w:asciiTheme="majorBidi" w:hAnsiTheme="majorBidi" w:cstheme="majorBidi"/>
          <w:i/>
          <w:iCs/>
          <w:sz w:val="20"/>
          <w:szCs w:val="20"/>
        </w:rPr>
        <w:t xml:space="preserve">Many consumers actively participate in circular economy practices like choosing eco-friendly products, self-repair, energy conservation, reuse, repurposing, and resource sharing. However, adopting public transport to reduce carbon emissions and purchasing second-hand products remains limited. Durability, environmental concerns, and price are equally crucial in purchasing decisions. Participants note the lack of repair services as the main reason for replacement, alongside high repair costs and a preference for new items due to affordability. Consumers prioritize eco-friendly products based on quality and price satisfaction. Religious motivation is significant in driving engagement in the circular economy, followed by ethical and financial incentives. Survey respondents show willingness to pay for environmentally friendly and reusable products, indicating responsiveness to </w:t>
      </w:r>
      <w:r w:rsidR="00F436A1" w:rsidRPr="00382510">
        <w:rPr>
          <w:rFonts w:asciiTheme="majorBidi" w:hAnsiTheme="majorBidi" w:cstheme="majorBidi"/>
          <w:i/>
          <w:iCs/>
          <w:sz w:val="20"/>
          <w:szCs w:val="20"/>
        </w:rPr>
        <w:t>monetary</w:t>
      </w:r>
      <w:r w:rsidRPr="00382510">
        <w:rPr>
          <w:rFonts w:asciiTheme="majorBidi" w:hAnsiTheme="majorBidi" w:cstheme="majorBidi"/>
          <w:i/>
          <w:iCs/>
          <w:sz w:val="20"/>
          <w:szCs w:val="20"/>
        </w:rPr>
        <w:t xml:space="preserve"> incentives. Educating and involving consumers in the benefits of circular practices can propel Qatar towards a sustainable and resource-efficient future, with recommendations focusing on addressing consumer concerns to enhance their participation in the circular economy</w:t>
      </w:r>
      <w:r w:rsidR="005C0E20" w:rsidRPr="00382510">
        <w:rPr>
          <w:rFonts w:asciiTheme="majorBidi" w:hAnsiTheme="majorBidi" w:cstheme="majorBidi"/>
          <w:i/>
          <w:iCs/>
          <w:sz w:val="20"/>
          <w:szCs w:val="20"/>
        </w:rPr>
        <w:t xml:space="preserve">. </w:t>
      </w:r>
    </w:p>
    <w:p w14:paraId="4FF4BA55" w14:textId="77777777" w:rsidR="00382510" w:rsidRPr="00382510" w:rsidRDefault="00382510" w:rsidP="005C0E20">
      <w:pPr>
        <w:jc w:val="lowKashida"/>
        <w:rPr>
          <w:rFonts w:asciiTheme="majorBidi" w:hAnsiTheme="majorBidi" w:cstheme="majorBidi"/>
          <w:i/>
          <w:iCs/>
          <w:sz w:val="20"/>
          <w:szCs w:val="20"/>
        </w:rPr>
      </w:pPr>
    </w:p>
    <w:p w14:paraId="1E51954A" w14:textId="7751B8FC" w:rsidR="00900A0E" w:rsidRPr="00382510" w:rsidRDefault="00900A0E" w:rsidP="005C0E20">
      <w:pPr>
        <w:pStyle w:val="ListParagraph"/>
        <w:numPr>
          <w:ilvl w:val="0"/>
          <w:numId w:val="1"/>
        </w:numPr>
        <w:jc w:val="lowKashida"/>
        <w:rPr>
          <w:rFonts w:asciiTheme="majorBidi" w:hAnsiTheme="majorBidi" w:cstheme="majorBidi"/>
          <w:b/>
          <w:bCs/>
          <w:sz w:val="32"/>
          <w:szCs w:val="32"/>
        </w:rPr>
      </w:pPr>
      <w:r w:rsidRPr="00382510">
        <w:rPr>
          <w:rFonts w:asciiTheme="majorBidi" w:hAnsiTheme="majorBidi" w:cstheme="majorBidi"/>
          <w:b/>
          <w:bCs/>
          <w:sz w:val="32"/>
          <w:szCs w:val="32"/>
        </w:rPr>
        <w:t>Introduction</w:t>
      </w:r>
    </w:p>
    <w:p w14:paraId="02C0C4EA" w14:textId="25519612" w:rsidR="004E7C6B" w:rsidRPr="00D20CA8" w:rsidRDefault="004E7C6B" w:rsidP="005C0E20">
      <w:pPr>
        <w:jc w:val="lowKashida"/>
        <w:rPr>
          <w:rFonts w:asciiTheme="majorBidi" w:hAnsiTheme="majorBidi" w:cstheme="majorBidi"/>
          <w:sz w:val="24"/>
          <w:szCs w:val="24"/>
        </w:rPr>
      </w:pPr>
      <w:r w:rsidRPr="00D20CA8">
        <w:rPr>
          <w:rFonts w:asciiTheme="majorBidi" w:hAnsiTheme="majorBidi" w:cstheme="majorBidi"/>
          <w:sz w:val="24"/>
          <w:szCs w:val="24"/>
        </w:rPr>
        <w:t>Human-induced climate change and biodiversity loss pose significant threats to the well-being of current and future generations. This has led to a global shift towards prioritizing sustainable development, driven by increasing environmental, economic, and social concerns. Sustainability focuses on conserving resources and promoting sustainable consumption and production practices by reshaping societal norms and behaviors. The CE, introduced in recent decades, is an ecological</w:t>
      </w:r>
      <w:r w:rsidR="00F436A1">
        <w:rPr>
          <w:rFonts w:asciiTheme="majorBidi" w:hAnsiTheme="majorBidi" w:cstheme="majorBidi"/>
          <w:sz w:val="24"/>
          <w:szCs w:val="24"/>
        </w:rPr>
        <w:t>-</w:t>
      </w:r>
      <w:r w:rsidRPr="00D20CA8">
        <w:rPr>
          <w:rFonts w:asciiTheme="majorBidi" w:hAnsiTheme="majorBidi" w:cstheme="majorBidi"/>
          <w:sz w:val="24"/>
          <w:szCs w:val="24"/>
        </w:rPr>
        <w:t xml:space="preserve">economic model that emphasizes maximizing the recycling and utilization of products while recovering resources. The Ellen MacArthur Foundation defines the </w:t>
      </w:r>
      <w:r w:rsidR="00EC5CA4">
        <w:rPr>
          <w:rFonts w:asciiTheme="majorBidi" w:hAnsiTheme="majorBidi" w:cstheme="majorBidi"/>
          <w:sz w:val="24"/>
          <w:szCs w:val="24"/>
        </w:rPr>
        <w:t>CE</w:t>
      </w:r>
      <w:r w:rsidRPr="00D20CA8">
        <w:rPr>
          <w:rFonts w:asciiTheme="majorBidi" w:hAnsiTheme="majorBidi" w:cstheme="majorBidi"/>
          <w:sz w:val="24"/>
          <w:szCs w:val="24"/>
        </w:rPr>
        <w:t xml:space="preserve"> as a system where materials are continuously reused, regenerated, and kept in circulation through maintenance, reuse, refurbishment, remanufacture, recycling, and composting</w:t>
      </w:r>
      <w:r w:rsidR="00732372">
        <w:rPr>
          <w:rFonts w:asciiTheme="majorBidi" w:hAnsiTheme="majorBidi" w:cstheme="majorBidi"/>
          <w:sz w:val="24"/>
          <w:szCs w:val="24"/>
        </w:rPr>
        <w:t>.</w:t>
      </w:r>
      <w:r w:rsidR="00732372">
        <w:rPr>
          <w:rStyle w:val="FootnoteReference"/>
          <w:rFonts w:asciiTheme="majorBidi" w:hAnsiTheme="majorBidi" w:cstheme="majorBidi"/>
          <w:sz w:val="24"/>
          <w:szCs w:val="24"/>
        </w:rPr>
        <w:footnoteReference w:id="4"/>
      </w:r>
      <w:r w:rsidRPr="00D20CA8">
        <w:rPr>
          <w:rFonts w:asciiTheme="majorBidi" w:hAnsiTheme="majorBidi" w:cstheme="majorBidi"/>
          <w:sz w:val="24"/>
          <w:szCs w:val="24"/>
        </w:rPr>
        <w:t xml:space="preserve"> </w:t>
      </w:r>
    </w:p>
    <w:p w14:paraId="384EFFE7" w14:textId="0CC0F525" w:rsidR="004E7C6B" w:rsidRPr="00D20CA8" w:rsidRDefault="004E7C6B" w:rsidP="005C0E20">
      <w:pPr>
        <w:jc w:val="lowKashida"/>
        <w:rPr>
          <w:rFonts w:asciiTheme="majorBidi" w:hAnsiTheme="majorBidi" w:cstheme="majorBidi"/>
          <w:sz w:val="24"/>
          <w:szCs w:val="24"/>
        </w:rPr>
      </w:pPr>
      <w:r w:rsidRPr="00D20CA8">
        <w:rPr>
          <w:rFonts w:asciiTheme="majorBidi" w:hAnsiTheme="majorBidi" w:cstheme="majorBidi"/>
          <w:sz w:val="24"/>
          <w:szCs w:val="24"/>
        </w:rPr>
        <w:t>The CE minimizes resource demand, extends resource life, and maximizes waste value. It offers business models for value capture in the supply chain, preparing companies for a resource-</w:t>
      </w:r>
      <w:r w:rsidRPr="00D20CA8">
        <w:rPr>
          <w:rFonts w:asciiTheme="majorBidi" w:hAnsiTheme="majorBidi" w:cstheme="majorBidi"/>
          <w:sz w:val="24"/>
          <w:szCs w:val="24"/>
        </w:rPr>
        <w:lastRenderedPageBreak/>
        <w:t xml:space="preserve">constrained future. CE focuses on preserving functions, products, materials, and embodied resources, contrasting the linear take-make-waste model (Lacy and </w:t>
      </w:r>
      <w:proofErr w:type="spellStart"/>
      <w:r w:rsidRPr="00D20CA8">
        <w:rPr>
          <w:rFonts w:asciiTheme="majorBidi" w:hAnsiTheme="majorBidi" w:cstheme="majorBidi"/>
          <w:sz w:val="24"/>
          <w:szCs w:val="24"/>
        </w:rPr>
        <w:t>Rutqvist</w:t>
      </w:r>
      <w:proofErr w:type="spellEnd"/>
      <w:r w:rsidRPr="00D20CA8">
        <w:rPr>
          <w:rFonts w:asciiTheme="majorBidi" w:hAnsiTheme="majorBidi" w:cstheme="majorBidi"/>
          <w:sz w:val="24"/>
          <w:szCs w:val="24"/>
        </w:rPr>
        <w:t xml:space="preserve">, 2015). </w:t>
      </w:r>
    </w:p>
    <w:p w14:paraId="49BC11EB" w14:textId="7753C189" w:rsidR="004E7C6B" w:rsidRPr="00D20CA8" w:rsidRDefault="004E7C6B" w:rsidP="005C0E20">
      <w:pPr>
        <w:jc w:val="lowKashida"/>
        <w:rPr>
          <w:rFonts w:asciiTheme="majorBidi" w:hAnsiTheme="majorBidi" w:cstheme="majorBidi"/>
          <w:sz w:val="24"/>
          <w:szCs w:val="24"/>
        </w:rPr>
      </w:pPr>
      <w:r w:rsidRPr="00D20CA8">
        <w:rPr>
          <w:rFonts w:asciiTheme="majorBidi" w:hAnsiTheme="majorBidi" w:cstheme="majorBidi"/>
          <w:sz w:val="24"/>
          <w:szCs w:val="24"/>
        </w:rPr>
        <w:t>Qatar has shown significant strides in sustainability with sustainability city projects, hosting a carbon-neutral FIFA 2022 and implementing 36 climate change adaptation measures. However, the CE concept is still emerging in Qatar</w:t>
      </w:r>
      <w:r w:rsidR="00F436A1">
        <w:rPr>
          <w:rFonts w:asciiTheme="majorBidi" w:hAnsiTheme="majorBidi" w:cstheme="majorBidi"/>
          <w:sz w:val="24"/>
          <w:szCs w:val="24"/>
        </w:rPr>
        <w:t xml:space="preserve"> and is</w:t>
      </w:r>
      <w:r w:rsidRPr="00D20CA8">
        <w:rPr>
          <w:rFonts w:asciiTheme="majorBidi" w:hAnsiTheme="majorBidi" w:cstheme="majorBidi"/>
          <w:sz w:val="24"/>
          <w:szCs w:val="24"/>
        </w:rPr>
        <w:t xml:space="preserve"> often linked with broader sustainability efforts. There is a call for a deeper understanding of CE beyond waste management. CE offers transformative business strategies by reshaping material distribution and enhancing productivity (Ellen MacArthur Foundation,2015). Integrating CE principles into Qatar's sustainable growth strategy, especially in economic diversification, holds substantial potential for the country's development.</w:t>
      </w:r>
    </w:p>
    <w:p w14:paraId="4F083C69" w14:textId="61643279" w:rsidR="004E7C6B" w:rsidRDefault="004E7C6B"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Qatar can advance its sustainability efforts by adopting </w:t>
      </w:r>
      <w:r w:rsidR="00EC5CA4">
        <w:rPr>
          <w:rFonts w:asciiTheme="majorBidi" w:hAnsiTheme="majorBidi" w:cstheme="majorBidi"/>
          <w:sz w:val="24"/>
          <w:szCs w:val="24"/>
        </w:rPr>
        <w:t>CE</w:t>
      </w:r>
      <w:r w:rsidRPr="00D20CA8">
        <w:rPr>
          <w:rFonts w:asciiTheme="majorBidi" w:hAnsiTheme="majorBidi" w:cstheme="majorBidi"/>
          <w:sz w:val="24"/>
          <w:szCs w:val="24"/>
        </w:rPr>
        <w:t xml:space="preserve"> practices for a more efficient and resource-conscious future. </w:t>
      </w:r>
      <w:proofErr w:type="spellStart"/>
      <w:r w:rsidRPr="00D20CA8">
        <w:rPr>
          <w:rFonts w:asciiTheme="majorBidi" w:hAnsiTheme="majorBidi" w:cstheme="majorBidi"/>
          <w:sz w:val="24"/>
          <w:szCs w:val="24"/>
        </w:rPr>
        <w:t>Earthna</w:t>
      </w:r>
      <w:proofErr w:type="spellEnd"/>
      <w:r w:rsidRPr="00D20CA8">
        <w:rPr>
          <w:rFonts w:asciiTheme="majorBidi" w:hAnsiTheme="majorBidi" w:cstheme="majorBidi"/>
          <w:sz w:val="24"/>
          <w:szCs w:val="24"/>
        </w:rPr>
        <w:t xml:space="preserve">, a nonprofit research center affiliated with the Qatar Foundation, has released insightful reports on the </w:t>
      </w:r>
      <w:r w:rsidR="00EC5CA4">
        <w:rPr>
          <w:rFonts w:asciiTheme="majorBidi" w:hAnsiTheme="majorBidi" w:cstheme="majorBidi"/>
          <w:sz w:val="24"/>
          <w:szCs w:val="24"/>
        </w:rPr>
        <w:t>CE</w:t>
      </w:r>
      <w:r w:rsidRPr="00D20CA8">
        <w:rPr>
          <w:rFonts w:asciiTheme="majorBidi" w:hAnsiTheme="majorBidi" w:cstheme="majorBidi"/>
          <w:sz w:val="24"/>
          <w:szCs w:val="24"/>
        </w:rPr>
        <w:t xml:space="preserve"> in Qatar. </w:t>
      </w:r>
      <w:r w:rsidR="00F436A1">
        <w:rPr>
          <w:rFonts w:asciiTheme="majorBidi" w:hAnsiTheme="majorBidi" w:cstheme="majorBidi"/>
          <w:sz w:val="24"/>
          <w:szCs w:val="24"/>
        </w:rPr>
        <w:t>Based on expert and stakeholder input, these reports</w:t>
      </w:r>
      <w:r w:rsidRPr="00D20CA8">
        <w:rPr>
          <w:rFonts w:asciiTheme="majorBidi" w:hAnsiTheme="majorBidi" w:cstheme="majorBidi"/>
          <w:sz w:val="24"/>
          <w:szCs w:val="24"/>
        </w:rPr>
        <w:t xml:space="preserve"> stress the need for a shift towards circular practices and advocate for a comprehensive strategy to support this transition. </w:t>
      </w:r>
      <w:proofErr w:type="spellStart"/>
      <w:r w:rsidRPr="00D20CA8">
        <w:rPr>
          <w:rFonts w:asciiTheme="majorBidi" w:hAnsiTheme="majorBidi" w:cstheme="majorBidi"/>
          <w:sz w:val="24"/>
          <w:szCs w:val="24"/>
        </w:rPr>
        <w:t>Earthna's</w:t>
      </w:r>
      <w:proofErr w:type="spellEnd"/>
      <w:r w:rsidRPr="00D20CA8">
        <w:rPr>
          <w:rFonts w:asciiTheme="majorBidi" w:hAnsiTheme="majorBidi" w:cstheme="majorBidi"/>
          <w:sz w:val="24"/>
          <w:szCs w:val="24"/>
        </w:rPr>
        <w:t xml:space="preserve"> research suggests that implementing circular principles and targeted policies can lead to significant savings across various sectors. The reports highlight consumer awareness as a key driver for promoting </w:t>
      </w:r>
      <w:r w:rsidR="00EC5CA4">
        <w:rPr>
          <w:rFonts w:asciiTheme="majorBidi" w:hAnsiTheme="majorBidi" w:cstheme="majorBidi"/>
          <w:sz w:val="24"/>
          <w:szCs w:val="24"/>
        </w:rPr>
        <w:t>CE</w:t>
      </w:r>
      <w:r w:rsidRPr="00D20CA8">
        <w:rPr>
          <w:rFonts w:asciiTheme="majorBidi" w:hAnsiTheme="majorBidi" w:cstheme="majorBidi"/>
          <w:sz w:val="24"/>
          <w:szCs w:val="24"/>
        </w:rPr>
        <w:t xml:space="preserve"> in Qatar and recommend behavior change campaigns to encourage resource reuse. </w:t>
      </w:r>
    </w:p>
    <w:p w14:paraId="1AC85473" w14:textId="7F6927F4" w:rsidR="00E21143" w:rsidRPr="00D20CA8" w:rsidRDefault="00E21143" w:rsidP="005C0E20">
      <w:pPr>
        <w:jc w:val="lowKashida"/>
        <w:rPr>
          <w:rFonts w:asciiTheme="majorBidi" w:hAnsiTheme="majorBidi" w:cstheme="majorBidi"/>
          <w:sz w:val="24"/>
          <w:szCs w:val="24"/>
        </w:rPr>
      </w:pPr>
      <w:r w:rsidRPr="00E21143">
        <w:rPr>
          <w:rFonts w:asciiTheme="majorBidi" w:hAnsiTheme="majorBidi" w:cstheme="majorBidi"/>
          <w:sz w:val="24"/>
          <w:szCs w:val="24"/>
        </w:rPr>
        <w:t xml:space="preserve">Understanding consumer needs, preferences, and behavior can lead to more impactful and successful policies promoting circular practices. Consumer engagement is vital for </w:t>
      </w:r>
      <w:r w:rsidR="00F436A1">
        <w:rPr>
          <w:rFonts w:asciiTheme="majorBidi" w:hAnsiTheme="majorBidi" w:cstheme="majorBidi"/>
          <w:sz w:val="24"/>
          <w:szCs w:val="24"/>
        </w:rPr>
        <w:t>rapidly adopting</w:t>
      </w:r>
      <w:r w:rsidRPr="00E21143">
        <w:rPr>
          <w:rFonts w:asciiTheme="majorBidi" w:hAnsiTheme="majorBidi" w:cstheme="majorBidi"/>
          <w:sz w:val="24"/>
          <w:szCs w:val="24"/>
        </w:rPr>
        <w:t xml:space="preserve"> CE business models </w:t>
      </w:r>
      <w:proofErr w:type="gramStart"/>
      <w:r w:rsidRPr="00E21143">
        <w:rPr>
          <w:rFonts w:asciiTheme="majorBidi" w:hAnsiTheme="majorBidi" w:cstheme="majorBidi"/>
          <w:sz w:val="24"/>
          <w:szCs w:val="24"/>
        </w:rPr>
        <w:t>( Lacy</w:t>
      </w:r>
      <w:proofErr w:type="gramEnd"/>
      <w:r w:rsidRPr="00E21143">
        <w:rPr>
          <w:rFonts w:asciiTheme="majorBidi" w:hAnsiTheme="majorBidi" w:cstheme="majorBidi"/>
          <w:sz w:val="24"/>
          <w:szCs w:val="24"/>
        </w:rPr>
        <w:t xml:space="preserve"> et al.,2020). Consumers are crucial drivers of change in the </w:t>
      </w:r>
      <w:r w:rsidR="00EC5CA4">
        <w:rPr>
          <w:rFonts w:asciiTheme="majorBidi" w:hAnsiTheme="majorBidi" w:cstheme="majorBidi"/>
          <w:sz w:val="24"/>
          <w:szCs w:val="24"/>
        </w:rPr>
        <w:t>CE</w:t>
      </w:r>
      <w:r w:rsidRPr="00E21143">
        <w:rPr>
          <w:rFonts w:asciiTheme="majorBidi" w:hAnsiTheme="majorBidi" w:cstheme="majorBidi"/>
          <w:sz w:val="24"/>
          <w:szCs w:val="24"/>
        </w:rPr>
        <w:t xml:space="preserve">, impacting product demand, maintenance, reduction, and reuse. Consumers contribute to the </w:t>
      </w:r>
      <w:r w:rsidR="00EC5CA4">
        <w:rPr>
          <w:rFonts w:asciiTheme="majorBidi" w:hAnsiTheme="majorBidi" w:cstheme="majorBidi"/>
          <w:sz w:val="24"/>
          <w:szCs w:val="24"/>
        </w:rPr>
        <w:t>CE</w:t>
      </w:r>
      <w:r w:rsidRPr="00E21143">
        <w:rPr>
          <w:rFonts w:asciiTheme="majorBidi" w:hAnsiTheme="majorBidi" w:cstheme="majorBidi"/>
          <w:sz w:val="24"/>
          <w:szCs w:val="24"/>
        </w:rPr>
        <w:t xml:space="preserve"> by </w:t>
      </w:r>
      <w:r w:rsidR="00F436A1">
        <w:rPr>
          <w:rFonts w:asciiTheme="majorBidi" w:hAnsiTheme="majorBidi" w:cstheme="majorBidi"/>
          <w:sz w:val="24"/>
          <w:szCs w:val="24"/>
        </w:rPr>
        <w:t>sharing resources</w:t>
      </w:r>
      <w:r w:rsidRPr="00E21143">
        <w:rPr>
          <w:rFonts w:asciiTheme="majorBidi" w:hAnsiTheme="majorBidi" w:cstheme="majorBidi"/>
          <w:sz w:val="24"/>
          <w:szCs w:val="24"/>
        </w:rPr>
        <w:t xml:space="preserve">, recycling, and responsible waste disposal. This sustainable consumption aligns with ethical values, promoting environmental awareness. Tailoring policies to consumer needs and behaviors can enhance the effectiveness of circular practices. The study underhand is conducted </w:t>
      </w:r>
      <w:r w:rsidR="00F436A1">
        <w:rPr>
          <w:rFonts w:asciiTheme="majorBidi" w:hAnsiTheme="majorBidi" w:cstheme="majorBidi"/>
          <w:sz w:val="24"/>
          <w:szCs w:val="24"/>
        </w:rPr>
        <w:t>from</w:t>
      </w:r>
      <w:r w:rsidRPr="00E21143">
        <w:rPr>
          <w:rFonts w:asciiTheme="majorBidi" w:hAnsiTheme="majorBidi" w:cstheme="majorBidi"/>
          <w:sz w:val="24"/>
          <w:szCs w:val="24"/>
        </w:rPr>
        <w:t xml:space="preserve"> this perspective.</w:t>
      </w:r>
    </w:p>
    <w:p w14:paraId="1AEB55E6" w14:textId="3249B5EF" w:rsidR="004E7C6B" w:rsidRPr="00D20CA8" w:rsidRDefault="004E7C6B"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This study delves into the link between consumer awareness, education, and </w:t>
      </w:r>
      <w:r w:rsidR="00EC5CA4">
        <w:rPr>
          <w:rFonts w:asciiTheme="majorBidi" w:hAnsiTheme="majorBidi" w:cstheme="majorBidi"/>
          <w:sz w:val="24"/>
          <w:szCs w:val="24"/>
        </w:rPr>
        <w:t>CE</w:t>
      </w:r>
      <w:r w:rsidR="00F436A1">
        <w:rPr>
          <w:rFonts w:asciiTheme="majorBidi" w:hAnsiTheme="majorBidi" w:cstheme="majorBidi"/>
          <w:sz w:val="24"/>
          <w:szCs w:val="24"/>
        </w:rPr>
        <w:t xml:space="preserve"> participation</w:t>
      </w:r>
      <w:r w:rsidRPr="00D20CA8">
        <w:rPr>
          <w:rFonts w:asciiTheme="majorBidi" w:hAnsiTheme="majorBidi" w:cstheme="majorBidi"/>
          <w:sz w:val="24"/>
          <w:szCs w:val="24"/>
        </w:rPr>
        <w:t xml:space="preserve">. It examines consumer perceptions of environmental care based on religious values, purchase decisions, pro-environmental motivation, willingness to pay, and sustainable consumption practices within CE elements like recycling, repair, and green labels. Primary data is gathered through a survey to capture diverse community perspectives on consumer behavior and engagement in the </w:t>
      </w:r>
      <w:r w:rsidR="00EC5CA4">
        <w:rPr>
          <w:rFonts w:asciiTheme="majorBidi" w:hAnsiTheme="majorBidi" w:cstheme="majorBidi"/>
          <w:sz w:val="24"/>
          <w:szCs w:val="24"/>
        </w:rPr>
        <w:t>CE</w:t>
      </w:r>
      <w:r w:rsidRPr="00D20CA8">
        <w:rPr>
          <w:rFonts w:asciiTheme="majorBidi" w:hAnsiTheme="majorBidi" w:cstheme="majorBidi"/>
          <w:sz w:val="24"/>
          <w:szCs w:val="24"/>
        </w:rPr>
        <w:t xml:space="preserve">. The study uncovers how Islamic teachings, emphasizing resource optimization, sharing, and moderation, align with CE principles in Qatar's society. By considering socio-economic, religious, and cultural dimensions, the research aims to promote circular practices among consumers. </w:t>
      </w:r>
    </w:p>
    <w:p w14:paraId="49C2A1ED" w14:textId="5E25194B" w:rsidR="004E7C6B" w:rsidRPr="00D20CA8" w:rsidRDefault="004E7C6B" w:rsidP="00FC39FE">
      <w:pPr>
        <w:jc w:val="lowKashida"/>
        <w:rPr>
          <w:rFonts w:asciiTheme="majorBidi" w:hAnsiTheme="majorBidi" w:cstheme="majorBidi"/>
          <w:sz w:val="24"/>
          <w:szCs w:val="24"/>
        </w:rPr>
      </w:pPr>
      <w:r w:rsidRPr="00D20CA8">
        <w:rPr>
          <w:rFonts w:asciiTheme="majorBidi" w:hAnsiTheme="majorBidi" w:cstheme="majorBidi"/>
          <w:sz w:val="24"/>
          <w:szCs w:val="24"/>
        </w:rPr>
        <w:t xml:space="preserve">The findings highlight the significant role of awareness and education in fostering consumer participation in CE. The research outcomes offer insights for practitioners to address obstacles to consumer involvement in circular practices and support awareness campaigns aligned with Qatar National Vision 2030, national climate action plans, and global Sustainable Development Goals (SDGs). </w:t>
      </w:r>
      <w:r w:rsidR="00FC39FE">
        <w:rPr>
          <w:rFonts w:asciiTheme="majorBidi" w:hAnsiTheme="majorBidi" w:cstheme="majorBidi"/>
          <w:sz w:val="24"/>
          <w:szCs w:val="24"/>
        </w:rPr>
        <w:t xml:space="preserve">The paper is structured as follows. </w:t>
      </w:r>
      <w:r w:rsidRPr="00D20CA8">
        <w:rPr>
          <w:rFonts w:asciiTheme="majorBidi" w:hAnsiTheme="majorBidi" w:cstheme="majorBidi"/>
          <w:sz w:val="24"/>
          <w:szCs w:val="24"/>
        </w:rPr>
        <w:t xml:space="preserve">Section two provides a relevant literature review. </w:t>
      </w:r>
      <w:r w:rsidRPr="00D20CA8">
        <w:rPr>
          <w:rFonts w:asciiTheme="majorBidi" w:hAnsiTheme="majorBidi" w:cstheme="majorBidi"/>
          <w:sz w:val="24"/>
          <w:szCs w:val="24"/>
        </w:rPr>
        <w:lastRenderedPageBreak/>
        <w:t>Section three outlines the research methodology and data collection procedures. Section four</w:t>
      </w:r>
      <w:r w:rsidR="00F436A1">
        <w:rPr>
          <w:rFonts w:asciiTheme="majorBidi" w:hAnsiTheme="majorBidi" w:cstheme="majorBidi"/>
          <w:sz w:val="24"/>
          <w:szCs w:val="24"/>
        </w:rPr>
        <w:t xml:space="preserve"> focuses on </w:t>
      </w:r>
      <w:r w:rsidRPr="00D20CA8">
        <w:rPr>
          <w:rFonts w:asciiTheme="majorBidi" w:hAnsiTheme="majorBidi" w:cstheme="majorBidi"/>
          <w:sz w:val="24"/>
          <w:szCs w:val="24"/>
        </w:rPr>
        <w:t>the results and subsequent discussion. Finally, in section five, the paper concludes and provides policy recommendations.</w:t>
      </w:r>
    </w:p>
    <w:p w14:paraId="204D4E80" w14:textId="77777777" w:rsidR="00900A0E" w:rsidRPr="00D20CA8" w:rsidRDefault="00900A0E" w:rsidP="005C0E20">
      <w:pPr>
        <w:jc w:val="lowKashida"/>
        <w:rPr>
          <w:rFonts w:asciiTheme="majorBidi" w:hAnsiTheme="majorBidi" w:cstheme="majorBidi"/>
          <w:sz w:val="24"/>
          <w:szCs w:val="24"/>
        </w:rPr>
      </w:pPr>
    </w:p>
    <w:p w14:paraId="50C93ECB" w14:textId="23A4B7EE" w:rsidR="00900A0E" w:rsidRPr="00382510" w:rsidRDefault="00900A0E" w:rsidP="005C0E20">
      <w:pPr>
        <w:pStyle w:val="ListParagraph"/>
        <w:numPr>
          <w:ilvl w:val="0"/>
          <w:numId w:val="1"/>
        </w:numPr>
        <w:jc w:val="lowKashida"/>
        <w:rPr>
          <w:rFonts w:asciiTheme="majorBidi" w:hAnsiTheme="majorBidi" w:cstheme="majorBidi"/>
          <w:b/>
          <w:bCs/>
          <w:sz w:val="32"/>
          <w:szCs w:val="32"/>
        </w:rPr>
      </w:pPr>
      <w:r w:rsidRPr="00382510">
        <w:rPr>
          <w:rFonts w:asciiTheme="majorBidi" w:hAnsiTheme="majorBidi" w:cstheme="majorBidi"/>
          <w:b/>
          <w:bCs/>
          <w:sz w:val="32"/>
          <w:szCs w:val="32"/>
        </w:rPr>
        <w:t>Literature Review</w:t>
      </w:r>
    </w:p>
    <w:p w14:paraId="537AD7B9" w14:textId="23E1295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The literature review highlights a scarcity of research on the demand side of the Circular Economy (CE) compared to the supply </w:t>
      </w:r>
      <w:proofErr w:type="gramStart"/>
      <w:r w:rsidRPr="00D20CA8">
        <w:rPr>
          <w:rFonts w:asciiTheme="majorBidi" w:hAnsiTheme="majorBidi" w:cstheme="majorBidi"/>
          <w:sz w:val="24"/>
          <w:szCs w:val="24"/>
        </w:rPr>
        <w:t>side(</w:t>
      </w:r>
      <w:proofErr w:type="gramEnd"/>
      <w:r w:rsidRPr="00D20CA8">
        <w:rPr>
          <w:rFonts w:asciiTheme="majorBidi" w:hAnsiTheme="majorBidi" w:cstheme="majorBidi"/>
          <w:sz w:val="24"/>
          <w:szCs w:val="24"/>
        </w:rPr>
        <w:t xml:space="preserve">Elzinga et al., 2020). Existing literature lacks firsthand data on consumer participation in CE, their concerns about circular businesses, barriers to engagement, and everyday </w:t>
      </w:r>
      <w:r w:rsidR="00EC5CA4">
        <w:rPr>
          <w:rFonts w:asciiTheme="majorBidi" w:hAnsiTheme="majorBidi" w:cstheme="majorBidi"/>
          <w:sz w:val="24"/>
          <w:szCs w:val="24"/>
        </w:rPr>
        <w:t>CE</w:t>
      </w:r>
      <w:r w:rsidRPr="00D20CA8">
        <w:rPr>
          <w:rFonts w:asciiTheme="majorBidi" w:hAnsiTheme="majorBidi" w:cstheme="majorBidi"/>
          <w:sz w:val="24"/>
          <w:szCs w:val="24"/>
        </w:rPr>
        <w:t xml:space="preserve"> practices. Studies often combine consumer perception and engagement with broader sustainability concepts, making it challenging to isolate the consumer's role in CE (Kolling et al., 2023; Lakatos et al., 2016</w:t>
      </w:r>
      <w:r w:rsidR="00F436A1">
        <w:rPr>
          <w:rFonts w:asciiTheme="majorBidi" w:hAnsiTheme="majorBidi" w:cstheme="majorBidi"/>
          <w:sz w:val="24"/>
          <w:szCs w:val="24"/>
        </w:rPr>
        <w:t>;</w:t>
      </w:r>
      <w:r w:rsidRPr="00D20CA8">
        <w:rPr>
          <w:rFonts w:asciiTheme="majorBidi" w:hAnsiTheme="majorBidi" w:cstheme="majorBidi"/>
          <w:sz w:val="24"/>
          <w:szCs w:val="24"/>
        </w:rPr>
        <w:t xml:space="preserve"> Ahmad et al., 2023). The review focuses on empirical research articles related to consumer perspectives and CE, covering consumer behavior in recycling, consumer involvement in remanufacturing, repair businesses, the sharing economy, and the impact of information and awareness. Relevant and recent papers in these areas are discussed, emphasizing studies based on consumer survey data.</w:t>
      </w:r>
    </w:p>
    <w:p w14:paraId="250525F0" w14:textId="2E1502C0"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The sources highlight the transformative nature of the CE, emphasizing the need for new business models, product redesign, and shifts in consumer behavior (Ellen MacArthur Foundation, 2014). Recent research has focused on the relationship between the </w:t>
      </w:r>
      <w:r w:rsidR="00EC5CA4">
        <w:rPr>
          <w:rFonts w:asciiTheme="majorBidi" w:hAnsiTheme="majorBidi" w:cstheme="majorBidi"/>
          <w:sz w:val="24"/>
          <w:szCs w:val="24"/>
        </w:rPr>
        <w:t>CE</w:t>
      </w:r>
      <w:r w:rsidRPr="00D20CA8">
        <w:rPr>
          <w:rFonts w:asciiTheme="majorBidi" w:hAnsiTheme="majorBidi" w:cstheme="majorBidi"/>
          <w:sz w:val="24"/>
          <w:szCs w:val="24"/>
        </w:rPr>
        <w:t xml:space="preserve"> and consumers, underlining the importance of customer purchase intentions and behavior in implementing CE models (Vidal-Ayuso et al., 2023; </w:t>
      </w:r>
      <w:proofErr w:type="spellStart"/>
      <w:r w:rsidRPr="00D20CA8">
        <w:rPr>
          <w:rFonts w:asciiTheme="majorBidi" w:hAnsiTheme="majorBidi" w:cstheme="majorBidi"/>
          <w:sz w:val="24"/>
          <w:szCs w:val="24"/>
        </w:rPr>
        <w:t>Mostaghel</w:t>
      </w:r>
      <w:proofErr w:type="spellEnd"/>
      <w:r w:rsidRPr="00D20CA8">
        <w:rPr>
          <w:rFonts w:asciiTheme="majorBidi" w:hAnsiTheme="majorBidi" w:cstheme="majorBidi"/>
          <w:sz w:val="24"/>
          <w:szCs w:val="24"/>
        </w:rPr>
        <w:t xml:space="preserve"> &amp; </w:t>
      </w:r>
      <w:proofErr w:type="spellStart"/>
      <w:r w:rsidRPr="00D20CA8">
        <w:rPr>
          <w:rFonts w:asciiTheme="majorBidi" w:hAnsiTheme="majorBidi" w:cstheme="majorBidi"/>
          <w:sz w:val="24"/>
          <w:szCs w:val="24"/>
        </w:rPr>
        <w:t>Chirumalla</w:t>
      </w:r>
      <w:proofErr w:type="spellEnd"/>
      <w:r w:rsidRPr="00D20CA8">
        <w:rPr>
          <w:rFonts w:asciiTheme="majorBidi" w:hAnsiTheme="majorBidi" w:cstheme="majorBidi"/>
          <w:sz w:val="24"/>
          <w:szCs w:val="24"/>
        </w:rPr>
        <w:t>, 2021</w:t>
      </w:r>
      <w:proofErr w:type="gramStart"/>
      <w:r w:rsidRPr="00D20CA8">
        <w:rPr>
          <w:rFonts w:asciiTheme="majorBidi" w:hAnsiTheme="majorBidi" w:cstheme="majorBidi"/>
          <w:sz w:val="24"/>
          <w:szCs w:val="24"/>
        </w:rPr>
        <w:t>)  (</w:t>
      </w:r>
      <w:proofErr w:type="spellStart"/>
      <w:proofErr w:type="gramEnd"/>
      <w:r w:rsidRPr="00D20CA8">
        <w:rPr>
          <w:rFonts w:asciiTheme="majorBidi" w:hAnsiTheme="majorBidi" w:cstheme="majorBidi"/>
          <w:sz w:val="24"/>
          <w:szCs w:val="24"/>
        </w:rPr>
        <w:t>Piscicelli</w:t>
      </w:r>
      <w:proofErr w:type="spellEnd"/>
      <w:r w:rsidRPr="00D20CA8">
        <w:rPr>
          <w:rFonts w:asciiTheme="majorBidi" w:hAnsiTheme="majorBidi" w:cstheme="majorBidi"/>
          <w:sz w:val="24"/>
          <w:szCs w:val="24"/>
        </w:rPr>
        <w:t>, L., &amp; Ludden, G. 2016). Industries recognize consumers as key influencers in adopting circular practices, shaping decision-making toward sustainability (</w:t>
      </w:r>
      <w:proofErr w:type="spellStart"/>
      <w:r w:rsidRPr="00D20CA8">
        <w:rPr>
          <w:rFonts w:asciiTheme="majorBidi" w:hAnsiTheme="majorBidi" w:cstheme="majorBidi"/>
          <w:sz w:val="24"/>
          <w:szCs w:val="24"/>
        </w:rPr>
        <w:t>Piscicelli</w:t>
      </w:r>
      <w:proofErr w:type="spellEnd"/>
      <w:r w:rsidRPr="00D20CA8">
        <w:rPr>
          <w:rFonts w:asciiTheme="majorBidi" w:hAnsiTheme="majorBidi" w:cstheme="majorBidi"/>
          <w:sz w:val="24"/>
          <w:szCs w:val="24"/>
        </w:rPr>
        <w:t xml:space="preserve">, L., &amp; Ludden, G. 2016). Encouraging everyday circular behaviors like resource efficiency, second-hand purchases, and waste reduction is crucial. Consumer engagement in the </w:t>
      </w:r>
      <w:r w:rsidR="00EC5CA4">
        <w:rPr>
          <w:rFonts w:asciiTheme="majorBidi" w:hAnsiTheme="majorBidi" w:cstheme="majorBidi"/>
          <w:sz w:val="24"/>
          <w:szCs w:val="24"/>
        </w:rPr>
        <w:t>CE</w:t>
      </w:r>
      <w:r w:rsidRPr="00D20CA8">
        <w:rPr>
          <w:rFonts w:asciiTheme="majorBidi" w:hAnsiTheme="majorBidi" w:cstheme="majorBidi"/>
          <w:sz w:val="24"/>
          <w:szCs w:val="24"/>
        </w:rPr>
        <w:t xml:space="preserve"> extends beyond recycling and shopping to encompass daily and social circular practices, promoting a holistic approach to sustainability (Hobs,2020).</w:t>
      </w:r>
    </w:p>
    <w:p w14:paraId="518D2661" w14:textId="530907BB"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Recycling is a vital component of the </w:t>
      </w:r>
      <w:r w:rsidR="00EC5CA4">
        <w:rPr>
          <w:rFonts w:asciiTheme="majorBidi" w:hAnsiTheme="majorBidi" w:cstheme="majorBidi"/>
          <w:sz w:val="24"/>
          <w:szCs w:val="24"/>
        </w:rPr>
        <w:t>CE</w:t>
      </w:r>
      <w:r w:rsidRPr="00D20CA8">
        <w:rPr>
          <w:rFonts w:asciiTheme="majorBidi" w:hAnsiTheme="majorBidi" w:cstheme="majorBidi"/>
          <w:sz w:val="24"/>
          <w:szCs w:val="24"/>
        </w:rPr>
        <w:t xml:space="preserve">, where materials are transformed back into valuable </w:t>
      </w:r>
      <w:r w:rsidR="00F436A1">
        <w:rPr>
          <w:rFonts w:asciiTheme="majorBidi" w:hAnsiTheme="majorBidi" w:cstheme="majorBidi"/>
          <w:sz w:val="24"/>
          <w:szCs w:val="24"/>
        </w:rPr>
        <w:t>economic resources</w:t>
      </w:r>
      <w:r w:rsidRPr="00D20CA8">
        <w:rPr>
          <w:rFonts w:asciiTheme="majorBidi" w:hAnsiTheme="majorBidi" w:cstheme="majorBidi"/>
          <w:sz w:val="24"/>
          <w:szCs w:val="24"/>
        </w:rPr>
        <w:t xml:space="preserve">. It involves breaking down materials into basic components for reuse in production processes (Lacy and </w:t>
      </w:r>
      <w:proofErr w:type="spellStart"/>
      <w:r w:rsidRPr="00D20CA8">
        <w:rPr>
          <w:rFonts w:asciiTheme="majorBidi" w:hAnsiTheme="majorBidi" w:cstheme="majorBidi"/>
          <w:sz w:val="24"/>
          <w:szCs w:val="24"/>
        </w:rPr>
        <w:t>Rutqvist</w:t>
      </w:r>
      <w:proofErr w:type="spellEnd"/>
      <w:r w:rsidRPr="00D20CA8">
        <w:rPr>
          <w:rFonts w:asciiTheme="majorBidi" w:hAnsiTheme="majorBidi" w:cstheme="majorBidi"/>
          <w:sz w:val="24"/>
          <w:szCs w:val="24"/>
        </w:rPr>
        <w:t>, 2015). Consumers play a critical role in recycling practices, with their knowledge impacting recycling efficiency. Lack of information among the public can lead to lower recycling rates (Liu et al.,2022; Sarath et al.,2015). De Aguiar Hugo et al.</w:t>
      </w:r>
      <w:r w:rsidR="00F436A1">
        <w:rPr>
          <w:rFonts w:asciiTheme="majorBidi" w:hAnsiTheme="majorBidi" w:cstheme="majorBidi"/>
          <w:sz w:val="24"/>
          <w:szCs w:val="24"/>
        </w:rPr>
        <w:t xml:space="preserve"> </w:t>
      </w:r>
      <w:proofErr w:type="gramStart"/>
      <w:r w:rsidRPr="00D20CA8">
        <w:rPr>
          <w:rFonts w:asciiTheme="majorBidi" w:hAnsiTheme="majorBidi" w:cstheme="majorBidi"/>
          <w:sz w:val="24"/>
          <w:szCs w:val="24"/>
        </w:rPr>
        <w:t>( 2023</w:t>
      </w:r>
      <w:proofErr w:type="gramEnd"/>
      <w:r w:rsidRPr="00D20CA8">
        <w:rPr>
          <w:rFonts w:asciiTheme="majorBidi" w:hAnsiTheme="majorBidi" w:cstheme="majorBidi"/>
          <w:sz w:val="24"/>
          <w:szCs w:val="24"/>
        </w:rPr>
        <w:t>) find that consumers do not consider recycled clothing a shopping priority. Guo &amp; Huang</w:t>
      </w:r>
      <w:r w:rsidR="00F436A1">
        <w:rPr>
          <w:rFonts w:asciiTheme="majorBidi" w:hAnsiTheme="majorBidi" w:cstheme="majorBidi"/>
          <w:sz w:val="24"/>
          <w:szCs w:val="24"/>
        </w:rPr>
        <w:t>'s</w:t>
      </w:r>
      <w:r w:rsidRPr="00D20CA8">
        <w:rPr>
          <w:rFonts w:asciiTheme="majorBidi" w:hAnsiTheme="majorBidi" w:cstheme="majorBidi"/>
          <w:sz w:val="24"/>
          <w:szCs w:val="24"/>
        </w:rPr>
        <w:t xml:space="preserve"> (2023) findings on Electric Vehicle (EV) battery recycling highlight the influence of government policies and environmental attitudes on consumers' recycling intentions. The perceived benefits have a significant positive mediating effect, while perceived losses have a negative impact. The variables age, income, education, area of residence, recycling experience, and ownership of EV have significant moderating effects.</w:t>
      </w:r>
    </w:p>
    <w:p w14:paraId="1A36EDB8" w14:textId="401AB7B9"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Remanufacturing is restoring products into new products, and it involves disassembly, refurbishing, and reassembly. Wang &amp; Hazen (2016) explored the effect of different knowledge attributes about remanufactured products on perceived value and risk and the </w:t>
      </w:r>
      <w:r w:rsidR="00F436A1">
        <w:rPr>
          <w:rFonts w:asciiTheme="majorBidi" w:hAnsiTheme="majorBidi" w:cstheme="majorBidi"/>
          <w:sz w:val="24"/>
          <w:szCs w:val="24"/>
        </w:rPr>
        <w:t>impa</w:t>
      </w:r>
      <w:r w:rsidRPr="00D20CA8">
        <w:rPr>
          <w:rFonts w:asciiTheme="majorBidi" w:hAnsiTheme="majorBidi" w:cstheme="majorBidi"/>
          <w:sz w:val="24"/>
          <w:szCs w:val="24"/>
        </w:rPr>
        <w:t xml:space="preserve">ct of these perceptions on consumer purchase intentions. Their findings show that Consumers' perceptions of </w:t>
      </w:r>
      <w:r w:rsidRPr="00D20CA8">
        <w:rPr>
          <w:rFonts w:asciiTheme="majorBidi" w:hAnsiTheme="majorBidi" w:cstheme="majorBidi"/>
          <w:sz w:val="24"/>
          <w:szCs w:val="24"/>
        </w:rPr>
        <w:lastRenderedPageBreak/>
        <w:t xml:space="preserve">remanufactured products are influenced mainly by quality knowledge, compared to green and cost knowledge. The perceived value of remanufactured products positively influences consumers' purchase intention, while perceived risk negatively influences purchase decisions. </w:t>
      </w:r>
    </w:p>
    <w:p w14:paraId="68C19840" w14:textId="018C5206"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Consumers play a significant role in the Circular Economy (CE) through repair activities, which extend the life of products. Repair involves fixing product faults to restore functionality rather than discarding them. Consumer </w:t>
      </w:r>
      <w:r w:rsidR="00F436A1">
        <w:rPr>
          <w:rFonts w:asciiTheme="majorBidi" w:hAnsiTheme="majorBidi" w:cstheme="majorBidi"/>
          <w:sz w:val="24"/>
          <w:szCs w:val="24"/>
        </w:rPr>
        <w:t>repair engagement encompasses</w:t>
      </w:r>
      <w:r w:rsidRPr="00D20CA8">
        <w:rPr>
          <w:rFonts w:asciiTheme="majorBidi" w:hAnsiTheme="majorBidi" w:cstheme="majorBidi"/>
          <w:sz w:val="24"/>
          <w:szCs w:val="24"/>
        </w:rPr>
        <w:t xml:space="preserve"> self-repair and professional repair services, requiring knowledge, time, energy, expertise, and resources. The benefits of repair, such as value preservation and waste reduction, often outweigh those of replacement. Barriers to consumer involvement in repair include limited access to spare parts, subpar product design, material quality issues, lack of expertise, unavailable repair services, and time constraints (Cooper and Salvia, 2018).</w:t>
      </w:r>
    </w:p>
    <w:p w14:paraId="60FE31EF" w14:textId="7F3354E4" w:rsidR="00900A0E" w:rsidRPr="00D20CA8" w:rsidRDefault="00900A0E" w:rsidP="005C0E20">
      <w:pPr>
        <w:jc w:val="lowKashida"/>
        <w:rPr>
          <w:rFonts w:asciiTheme="majorBidi" w:hAnsiTheme="majorBidi" w:cstheme="majorBidi"/>
          <w:sz w:val="24"/>
          <w:szCs w:val="24"/>
        </w:rPr>
      </w:pPr>
      <w:proofErr w:type="spellStart"/>
      <w:r w:rsidRPr="00D20CA8">
        <w:rPr>
          <w:rFonts w:asciiTheme="majorBidi" w:hAnsiTheme="majorBidi" w:cstheme="majorBidi"/>
          <w:sz w:val="24"/>
          <w:szCs w:val="24"/>
        </w:rPr>
        <w:t>Terzioğlu</w:t>
      </w:r>
      <w:proofErr w:type="spellEnd"/>
      <w:r w:rsidRPr="00D20CA8">
        <w:rPr>
          <w:rFonts w:asciiTheme="majorBidi" w:hAnsiTheme="majorBidi" w:cstheme="majorBidi"/>
          <w:sz w:val="24"/>
          <w:szCs w:val="24"/>
        </w:rPr>
        <w:t xml:space="preserve"> (2021) introduced a repair motivation and barrier model integrating various individual factors influencing user product repair behavior. Their research identified key barriers to user engagement in repair, including lack of repair knowledge and access to necessary materials, product design and quality issues, negative perceptions of repair, and risk of irreversibility. Factors like time, effort, endurance, financial considerations, and aesthetic value can act as barriers and motivations. On the other hand, pleasure from repair, environmental concerns, functional value, and emotional attachment to the product serve as motivators for repair. These factors are interconnected within a comprehensive model, emphasizing the complexity of user behavior in product repair.</w:t>
      </w:r>
    </w:p>
    <w:p w14:paraId="171EF76E" w14:textId="6F4CAF2E"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Russell et al. (2023) </w:t>
      </w:r>
      <w:proofErr w:type="gramStart"/>
      <w:r w:rsidRPr="00D20CA8">
        <w:rPr>
          <w:rFonts w:asciiTheme="majorBidi" w:hAnsiTheme="majorBidi" w:cstheme="majorBidi"/>
          <w:sz w:val="24"/>
          <w:szCs w:val="24"/>
        </w:rPr>
        <w:t>explore</w:t>
      </w:r>
      <w:proofErr w:type="gramEnd"/>
      <w:r w:rsidRPr="00D20CA8">
        <w:rPr>
          <w:rFonts w:asciiTheme="majorBidi" w:hAnsiTheme="majorBidi" w:cstheme="majorBidi"/>
          <w:sz w:val="24"/>
          <w:szCs w:val="24"/>
        </w:rPr>
        <w:t xml:space="preserve"> the temporal dimensions of repair, emphasizing the sequential nature of the repair process and the critical role of time. They highlight how care for the product, attitude, skills, and experience influence repair decisions. The timing between product acquisition and damage can indicate its perceived obsolescence, impacting repair initiation. Similarly, the time between damage and repair is influenced by the product's importance to the user, financial considerations, and available facilities. These temporal considerations are key determinants of repair occurrences, particularly significant in today's fast-paced world with time constraints and financial considerations, especially in countries with high per capita income like Qatar.</w:t>
      </w:r>
    </w:p>
    <w:p w14:paraId="1964B972" w14:textId="738541F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Building on Russell et al.'s analysis (2023), the importance of time and information access in repair processes in Qatar is emphasized. Limited access to repair information, services, expertise, and spare parts for items like clothing articles, vegetable choppers, and toasters can hinder repair efforts, even when individuals are willing to engage in repair activities. Challenges in repair services are evident, such as the difficulty in finding small replacement parts, leading to </w:t>
      </w:r>
      <w:r w:rsidR="00F436A1">
        <w:rPr>
          <w:rFonts w:asciiTheme="majorBidi" w:hAnsiTheme="majorBidi" w:cstheme="majorBidi"/>
          <w:sz w:val="24"/>
          <w:szCs w:val="24"/>
        </w:rPr>
        <w:t xml:space="preserve">the </w:t>
      </w:r>
      <w:r w:rsidRPr="00D20CA8">
        <w:rPr>
          <w:rFonts w:asciiTheme="majorBidi" w:hAnsiTheme="majorBidi" w:cstheme="majorBidi"/>
          <w:sz w:val="24"/>
          <w:szCs w:val="24"/>
        </w:rPr>
        <w:t xml:space="preserve">potential discarding of items like pressure cookers. </w:t>
      </w:r>
      <w:proofErr w:type="spellStart"/>
      <w:r w:rsidRPr="00D20CA8">
        <w:rPr>
          <w:rFonts w:asciiTheme="majorBidi" w:hAnsiTheme="majorBidi" w:cstheme="majorBidi"/>
          <w:sz w:val="24"/>
          <w:szCs w:val="24"/>
        </w:rPr>
        <w:t>Korsunova</w:t>
      </w:r>
      <w:proofErr w:type="spellEnd"/>
      <w:r w:rsidRPr="00D20CA8">
        <w:rPr>
          <w:rFonts w:asciiTheme="majorBidi" w:hAnsiTheme="majorBidi" w:cstheme="majorBidi"/>
          <w:sz w:val="24"/>
          <w:szCs w:val="24"/>
        </w:rPr>
        <w:t xml:space="preserve"> et al. (2023) further explore repair experiences and the inclination to repair, highlighting the significant role of past experiences in shaping repair behavior among Finnish consumers. Negative repair experiences, such as spare parts unavailability, can deter individuals from engaging in repair activities.</w:t>
      </w:r>
    </w:p>
    <w:p w14:paraId="2BEFE9C4" w14:textId="173C064D"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The sharing principle within the </w:t>
      </w:r>
      <w:r w:rsidR="00EC5CA4">
        <w:rPr>
          <w:rFonts w:asciiTheme="majorBidi" w:hAnsiTheme="majorBidi" w:cstheme="majorBidi"/>
          <w:sz w:val="24"/>
          <w:szCs w:val="24"/>
        </w:rPr>
        <w:t>CE</w:t>
      </w:r>
      <w:r w:rsidRPr="00D20CA8">
        <w:rPr>
          <w:rFonts w:asciiTheme="majorBidi" w:hAnsiTheme="majorBidi" w:cstheme="majorBidi"/>
          <w:sz w:val="24"/>
          <w:szCs w:val="24"/>
        </w:rPr>
        <w:t xml:space="preserve"> promotes resource, service, and product sharing to enhance utility, extend lifespan, and reduce waste. It </w:t>
      </w:r>
      <w:r w:rsidR="00F436A1">
        <w:rPr>
          <w:rFonts w:asciiTheme="majorBidi" w:hAnsiTheme="majorBidi" w:cstheme="majorBidi"/>
          <w:sz w:val="24"/>
          <w:szCs w:val="24"/>
        </w:rPr>
        <w:t>optimizes resources, fosters collaborative consumption, and builds</w:t>
      </w:r>
      <w:r w:rsidRPr="00D20CA8">
        <w:rPr>
          <w:rFonts w:asciiTheme="majorBidi" w:hAnsiTheme="majorBidi" w:cstheme="majorBidi"/>
          <w:sz w:val="24"/>
          <w:szCs w:val="24"/>
        </w:rPr>
        <w:t xml:space="preserve"> community connections. Technology, particularly digitalization, plays a </w:t>
      </w:r>
      <w:r w:rsidRPr="00D20CA8">
        <w:rPr>
          <w:rFonts w:asciiTheme="majorBidi" w:hAnsiTheme="majorBidi" w:cstheme="majorBidi"/>
          <w:sz w:val="24"/>
          <w:szCs w:val="24"/>
        </w:rPr>
        <w:lastRenderedPageBreak/>
        <w:t xml:space="preserve">crucial role in enabling resource sharing. Consumers actively participate in the sharing platform of the </w:t>
      </w:r>
      <w:r w:rsidR="00EC5CA4">
        <w:rPr>
          <w:rFonts w:asciiTheme="majorBidi" w:hAnsiTheme="majorBidi" w:cstheme="majorBidi"/>
          <w:sz w:val="24"/>
          <w:szCs w:val="24"/>
        </w:rPr>
        <w:t>CE</w:t>
      </w:r>
      <w:r w:rsidRPr="00D20CA8">
        <w:rPr>
          <w:rFonts w:asciiTheme="majorBidi" w:hAnsiTheme="majorBidi" w:cstheme="majorBidi"/>
          <w:sz w:val="24"/>
          <w:szCs w:val="24"/>
        </w:rPr>
        <w:t xml:space="preserve">, which involves accessing services without ownership. </w:t>
      </w:r>
      <w:proofErr w:type="spellStart"/>
      <w:r w:rsidRPr="00D20CA8">
        <w:rPr>
          <w:rFonts w:asciiTheme="majorBidi" w:hAnsiTheme="majorBidi" w:cstheme="majorBidi"/>
          <w:sz w:val="24"/>
          <w:szCs w:val="24"/>
        </w:rPr>
        <w:t>Frenken</w:t>
      </w:r>
      <w:proofErr w:type="spellEnd"/>
      <w:r w:rsidRPr="00D20CA8">
        <w:rPr>
          <w:rFonts w:asciiTheme="majorBidi" w:hAnsiTheme="majorBidi" w:cstheme="majorBidi"/>
          <w:sz w:val="24"/>
          <w:szCs w:val="24"/>
        </w:rPr>
        <w:t xml:space="preserve"> &amp; Schor (2017) define the sharing economy as a system where consumers provide temporary access to underutilized physical assets, often for a fee, promoting efficient use of resources.</w:t>
      </w:r>
    </w:p>
    <w:p w14:paraId="310D96E3" w14:textId="73ACC381"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The sharing economy </w:t>
      </w:r>
      <w:r w:rsidR="00F436A1">
        <w:rPr>
          <w:rFonts w:asciiTheme="majorBidi" w:hAnsiTheme="majorBidi" w:cstheme="majorBidi"/>
          <w:sz w:val="24"/>
          <w:szCs w:val="24"/>
        </w:rPr>
        <w:t>strongly emphasizes</w:t>
      </w:r>
      <w:r w:rsidRPr="00D20CA8">
        <w:rPr>
          <w:rFonts w:asciiTheme="majorBidi" w:hAnsiTheme="majorBidi" w:cstheme="majorBidi"/>
          <w:sz w:val="24"/>
          <w:szCs w:val="24"/>
        </w:rPr>
        <w:t xml:space="preserve"> user perspectives, with extensive research focusing on user motivations. Studies highlight perceived benefits such as cost savings, ecological sustainability, and trust in other users (Mont et al., 2020). Stofberg et al. (2021) suggest that users in the sharing economy seek </w:t>
      </w:r>
      <w:r w:rsidR="00F436A1">
        <w:rPr>
          <w:rFonts w:asciiTheme="majorBidi" w:hAnsiTheme="majorBidi" w:cstheme="majorBidi"/>
          <w:sz w:val="24"/>
          <w:szCs w:val="24"/>
        </w:rPr>
        <w:t>both utilitarian and</w:t>
      </w:r>
      <w:r w:rsidRPr="00D20CA8">
        <w:rPr>
          <w:rFonts w:asciiTheme="majorBidi" w:hAnsiTheme="majorBidi" w:cstheme="majorBidi"/>
          <w:sz w:val="24"/>
          <w:szCs w:val="24"/>
        </w:rPr>
        <w:t xml:space="preserve"> relational value, emphasizing the importance of belonging to a community and engaging in transactions based on balanced reciprocity. This communal outlook influences behavior within the sharing economy, fostering community and </w:t>
      </w:r>
      <w:r w:rsidR="00F436A1">
        <w:rPr>
          <w:rFonts w:asciiTheme="majorBidi" w:hAnsiTheme="majorBidi" w:cstheme="majorBidi"/>
          <w:sz w:val="24"/>
          <w:szCs w:val="24"/>
        </w:rPr>
        <w:t>participant equality</w:t>
      </w:r>
      <w:r w:rsidRPr="00D20CA8">
        <w:rPr>
          <w:rFonts w:asciiTheme="majorBidi" w:hAnsiTheme="majorBidi" w:cstheme="majorBidi"/>
          <w:sz w:val="24"/>
          <w:szCs w:val="24"/>
        </w:rPr>
        <w:t xml:space="preserve"> (Qureshi et al., 2021).</w:t>
      </w:r>
    </w:p>
    <w:p w14:paraId="716259D4" w14:textId="1E9253B8"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Lieder et al. (2018) found that consumers s</w:t>
      </w:r>
      <w:r w:rsidR="00F436A1">
        <w:rPr>
          <w:rFonts w:asciiTheme="majorBidi" w:hAnsiTheme="majorBidi" w:cstheme="majorBidi"/>
          <w:sz w:val="24"/>
          <w:szCs w:val="24"/>
        </w:rPr>
        <w:t>trongly prefe</w:t>
      </w:r>
      <w:r w:rsidRPr="00D20CA8">
        <w:rPr>
          <w:rFonts w:asciiTheme="majorBidi" w:hAnsiTheme="majorBidi" w:cstheme="majorBidi"/>
          <w:sz w:val="24"/>
          <w:szCs w:val="24"/>
        </w:rPr>
        <w:t>r using products as a service rather than owning them, with service-related attributes having a more significant impact on consumer utility than price, payment scheme, and environmental friendliness. Additionally, in certain situations, the perceived economic benefits outweigh environmental concerns for consumers engaged in sharing, as highlighted by Khan &amp; Rundle‐Thiele (2019).</w:t>
      </w:r>
    </w:p>
    <w:p w14:paraId="651D1246" w14:textId="6E707F7D"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Another aspect of consumer engagement in CE is eco-labeling and consumer behavior. Boyer et al. (2021) studied consumer willingness to pay for products with varying levels of circularity based on a circularity score. They found that consumer</w:t>
      </w:r>
      <w:r w:rsidR="00F436A1">
        <w:rPr>
          <w:rFonts w:asciiTheme="majorBidi" w:hAnsiTheme="majorBidi" w:cstheme="majorBidi"/>
          <w:sz w:val="24"/>
          <w:szCs w:val="24"/>
        </w:rPr>
        <w:t>'s</w:t>
      </w:r>
      <w:r w:rsidRPr="00D20CA8">
        <w:rPr>
          <w:rFonts w:asciiTheme="majorBidi" w:hAnsiTheme="majorBidi" w:cstheme="majorBidi"/>
          <w:sz w:val="24"/>
          <w:szCs w:val="24"/>
        </w:rPr>
        <w:t xml:space="preserve"> willingness to pay increases at a low level of circular content but decreases as the proportion of circulated content increases in some cases. The research suggests that consumers may perceive a trade-off between high circularity and product quality.</w:t>
      </w:r>
    </w:p>
    <w:p w14:paraId="34AC824E" w14:textId="1C1CBA44"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Hiller &amp; Woodall (2019) and Hosta &amp; Zabkar (2021) highlight the impact of information on behavioral change in the context of </w:t>
      </w:r>
      <w:r w:rsidR="00F436A1">
        <w:rPr>
          <w:rFonts w:asciiTheme="majorBidi" w:hAnsiTheme="majorBidi" w:cstheme="majorBidi"/>
          <w:sz w:val="24"/>
          <w:szCs w:val="24"/>
        </w:rPr>
        <w:t xml:space="preserve">the </w:t>
      </w:r>
      <w:r w:rsidRPr="00D20CA8">
        <w:rPr>
          <w:rFonts w:asciiTheme="majorBidi" w:hAnsiTheme="majorBidi" w:cstheme="majorBidi"/>
          <w:sz w:val="24"/>
          <w:szCs w:val="24"/>
        </w:rPr>
        <w:t>CE. Shaw et al. (2016) found that while environmental awareness can alter attitudes, it may not significantly influence behavior. In contrast, Di Iorio et al. (2023) emphasized the role of sustainability information in stimulating consumer participation in CE. Ratner et al. (2021) identified a lack of information as a key barrier to adopting pro-environmental behavior in Russia, emphasizing the importance of knowledge in promoting sustainable consumption.</w:t>
      </w:r>
    </w:p>
    <w:p w14:paraId="590FB317" w14:textId="7777777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The studies reviewed above show the importance of awareness and education in adopting sustainable behavior and engaging in CE. However, awareness and actual participation in CE have not been assessed. We intend to fill the gap in the literature by exploring the role of awareness, education, and consumer participation in CE using participatory data from individual consumers, which has not been studied. Considering the religious and cultural aspects, we explore consumer perceptions, habits, and willingness to pay among the residents and Qatari citizens. </w:t>
      </w:r>
    </w:p>
    <w:p w14:paraId="4A566181" w14:textId="77777777" w:rsidR="00900A0E" w:rsidRPr="00D20CA8" w:rsidRDefault="00900A0E" w:rsidP="005C0E20">
      <w:pPr>
        <w:jc w:val="lowKashida"/>
        <w:rPr>
          <w:rFonts w:asciiTheme="majorBidi" w:hAnsiTheme="majorBidi" w:cstheme="majorBidi"/>
          <w:sz w:val="24"/>
          <w:szCs w:val="24"/>
        </w:rPr>
      </w:pPr>
    </w:p>
    <w:p w14:paraId="6EE77E22" w14:textId="7A89E9F5" w:rsidR="00900A0E" w:rsidRPr="00382510" w:rsidRDefault="00900A0E" w:rsidP="005C0E20">
      <w:pPr>
        <w:pStyle w:val="ListParagraph"/>
        <w:numPr>
          <w:ilvl w:val="0"/>
          <w:numId w:val="1"/>
        </w:numPr>
        <w:jc w:val="lowKashida"/>
        <w:rPr>
          <w:rFonts w:asciiTheme="majorBidi" w:hAnsiTheme="majorBidi" w:cstheme="majorBidi"/>
          <w:b/>
          <w:bCs/>
          <w:sz w:val="32"/>
          <w:szCs w:val="32"/>
        </w:rPr>
      </w:pPr>
      <w:r w:rsidRPr="00382510">
        <w:rPr>
          <w:rFonts w:asciiTheme="majorBidi" w:hAnsiTheme="majorBidi" w:cstheme="majorBidi"/>
          <w:b/>
          <w:bCs/>
          <w:sz w:val="32"/>
          <w:szCs w:val="32"/>
        </w:rPr>
        <w:t>Methodology</w:t>
      </w:r>
    </w:p>
    <w:p w14:paraId="41DECA40" w14:textId="3EAA97C6" w:rsidR="00900A0E" w:rsidRPr="00D20CA8" w:rsidRDefault="004E7C6B" w:rsidP="005C0E20">
      <w:pPr>
        <w:jc w:val="lowKashida"/>
        <w:rPr>
          <w:rFonts w:asciiTheme="majorBidi" w:hAnsiTheme="majorBidi" w:cstheme="majorBidi"/>
          <w:sz w:val="24"/>
          <w:szCs w:val="24"/>
        </w:rPr>
      </w:pPr>
      <w:r w:rsidRPr="00D20CA8">
        <w:rPr>
          <w:rFonts w:asciiTheme="majorBidi" w:hAnsiTheme="majorBidi" w:cstheme="majorBidi"/>
          <w:sz w:val="24"/>
          <w:szCs w:val="24"/>
        </w:rPr>
        <w:t>3.1</w:t>
      </w:r>
      <w:r w:rsidRPr="00D20CA8">
        <w:rPr>
          <w:rFonts w:asciiTheme="majorBidi" w:hAnsiTheme="majorBidi" w:cstheme="majorBidi"/>
          <w:sz w:val="24"/>
          <w:szCs w:val="24"/>
        </w:rPr>
        <w:tab/>
      </w:r>
      <w:r w:rsidR="00900A0E" w:rsidRPr="00D20CA8">
        <w:rPr>
          <w:rFonts w:asciiTheme="majorBidi" w:hAnsiTheme="majorBidi" w:cstheme="majorBidi"/>
          <w:sz w:val="24"/>
          <w:szCs w:val="24"/>
        </w:rPr>
        <w:t xml:space="preserve">Regression model </w:t>
      </w:r>
    </w:p>
    <w:p w14:paraId="2D8807FF" w14:textId="413EFFA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lastRenderedPageBreak/>
        <w:t xml:space="preserve">The study investigates consumer involvement in the </w:t>
      </w:r>
      <w:r w:rsidR="00EC5CA4">
        <w:rPr>
          <w:rFonts w:asciiTheme="majorBidi" w:hAnsiTheme="majorBidi" w:cstheme="majorBidi"/>
          <w:sz w:val="24"/>
          <w:szCs w:val="24"/>
        </w:rPr>
        <w:t>CE</w:t>
      </w:r>
      <w:r w:rsidRPr="00D20CA8">
        <w:rPr>
          <w:rFonts w:asciiTheme="majorBidi" w:hAnsiTheme="majorBidi" w:cstheme="majorBidi"/>
          <w:sz w:val="24"/>
          <w:szCs w:val="24"/>
        </w:rPr>
        <w:t xml:space="preserve"> transition in Qatar, focusing on awareness, education, and consumer participation. It utilizes a logistic model to analyze how awareness and education influence consumer engagement in the </w:t>
      </w:r>
      <w:r w:rsidR="00EC5CA4">
        <w:rPr>
          <w:rFonts w:asciiTheme="majorBidi" w:hAnsiTheme="majorBidi" w:cstheme="majorBidi"/>
          <w:sz w:val="24"/>
          <w:szCs w:val="24"/>
        </w:rPr>
        <w:t>CE</w:t>
      </w:r>
      <w:r w:rsidRPr="00D20CA8">
        <w:rPr>
          <w:rFonts w:asciiTheme="majorBidi" w:hAnsiTheme="majorBidi" w:cstheme="majorBidi"/>
          <w:sz w:val="24"/>
          <w:szCs w:val="24"/>
        </w:rPr>
        <w:t xml:space="preserve">. The research aligns with previous studies that have employed logistic models in consumer perception research, such as </w:t>
      </w:r>
      <w:proofErr w:type="spellStart"/>
      <w:r w:rsidRPr="00D20CA8">
        <w:rPr>
          <w:rFonts w:asciiTheme="majorBidi" w:hAnsiTheme="majorBidi" w:cstheme="majorBidi"/>
          <w:sz w:val="24"/>
          <w:szCs w:val="24"/>
        </w:rPr>
        <w:t>Büyükkaragöz</w:t>
      </w:r>
      <w:proofErr w:type="spellEnd"/>
      <w:r w:rsidRPr="00D20CA8">
        <w:rPr>
          <w:rFonts w:asciiTheme="majorBidi" w:hAnsiTheme="majorBidi" w:cstheme="majorBidi"/>
          <w:sz w:val="24"/>
          <w:szCs w:val="24"/>
        </w:rPr>
        <w:t xml:space="preserve"> et al. (2014), Zhang et al. (2021), Hinojo et al. (2022), and Lu et al. (2023). The binary logistic regression model is used to predict the likelihood of consumer participation in the </w:t>
      </w:r>
      <w:r w:rsidR="00EC5CA4">
        <w:rPr>
          <w:rFonts w:asciiTheme="majorBidi" w:hAnsiTheme="majorBidi" w:cstheme="majorBidi"/>
          <w:sz w:val="24"/>
          <w:szCs w:val="24"/>
        </w:rPr>
        <w:t>CE</w:t>
      </w:r>
      <w:r w:rsidRPr="00D20CA8">
        <w:rPr>
          <w:rFonts w:asciiTheme="majorBidi" w:hAnsiTheme="majorBidi" w:cstheme="majorBidi"/>
          <w:sz w:val="24"/>
          <w:szCs w:val="24"/>
        </w:rPr>
        <w:t xml:space="preserve"> based on awareness and education levels.</w:t>
      </w:r>
    </w:p>
    <w:p w14:paraId="774F25A0" w14:textId="77777777" w:rsidR="00900A0E"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Following (</w:t>
      </w:r>
      <w:proofErr w:type="spellStart"/>
      <w:r w:rsidRPr="00D20CA8">
        <w:rPr>
          <w:rFonts w:asciiTheme="majorBidi" w:hAnsiTheme="majorBidi" w:cstheme="majorBidi"/>
          <w:sz w:val="24"/>
          <w:szCs w:val="24"/>
        </w:rPr>
        <w:t>Mendako</w:t>
      </w:r>
      <w:proofErr w:type="spellEnd"/>
      <w:r w:rsidRPr="00D20CA8">
        <w:rPr>
          <w:rFonts w:asciiTheme="majorBidi" w:hAnsiTheme="majorBidi" w:cstheme="majorBidi"/>
          <w:sz w:val="24"/>
          <w:szCs w:val="24"/>
        </w:rPr>
        <w:t xml:space="preserve"> et al., 2022), we specify the binary logistic regression model to estimate participation as:</w:t>
      </w:r>
    </w:p>
    <w:p w14:paraId="1720FFAB" w14:textId="2CB9C9C0" w:rsidR="00D20CA8" w:rsidRPr="00F9700A" w:rsidRDefault="00000000" w:rsidP="00D20CA8">
      <w:pPr>
        <w:spacing w:after="0" w:line="240" w:lineRule="auto"/>
        <w:jc w:val="both"/>
        <w:rPr>
          <w:rFonts w:eastAsiaTheme="minorEastAsia" w:cstheme="minorHAnsi"/>
          <w:iCs/>
        </w:rPr>
      </w:pPr>
      <m:oMathPara>
        <m:oMath>
          <m:func>
            <m:funcPr>
              <m:ctrlPr>
                <w:rPr>
                  <w:rFonts w:ascii="Cambria Math" w:hAnsi="Cambria Math" w:cstheme="minorHAnsi"/>
                  <w:i/>
                  <w:iCs/>
                </w:rPr>
              </m:ctrlPr>
            </m:funcPr>
            <m:fName>
              <m:r>
                <m:rPr>
                  <m:sty m:val="p"/>
                </m:rPr>
                <w:rPr>
                  <w:rFonts w:ascii="Cambria Math" w:hAnsi="Cambria Math" w:cstheme="minorHAnsi"/>
                </w:rPr>
                <m:t>log</m:t>
              </m:r>
            </m:fName>
            <m:e>
              <m:d>
                <m:dPr>
                  <m:ctrlPr>
                    <w:rPr>
                      <w:rFonts w:ascii="Cambria Math" w:hAnsi="Cambria Math" w:cstheme="minorHAnsi"/>
                      <w:i/>
                      <w:iCs/>
                    </w:rPr>
                  </m:ctrlPr>
                </m:dPr>
                <m:e>
                  <m:f>
                    <m:fPr>
                      <m:ctrlPr>
                        <w:rPr>
                          <w:rFonts w:ascii="Cambria Math" w:hAnsi="Cambria Math" w:cstheme="minorHAnsi"/>
                          <w:i/>
                          <w:iCs/>
                        </w:rPr>
                      </m:ctrlPr>
                    </m:fPr>
                    <m:num>
                      <m:sSub>
                        <m:sSubPr>
                          <m:ctrlPr>
                            <w:rPr>
                              <w:rFonts w:ascii="Cambria Math" w:hAnsi="Cambria Math" w:cstheme="minorHAnsi"/>
                              <w:i/>
                              <w:iCs/>
                            </w:rPr>
                          </m:ctrlPr>
                        </m:sSubPr>
                        <m:e>
                          <m:r>
                            <w:rPr>
                              <w:rFonts w:ascii="Cambria Math" w:hAnsi="Cambria Math" w:cstheme="minorHAnsi"/>
                            </w:rPr>
                            <m:t>p</m:t>
                          </m:r>
                        </m:e>
                        <m:sub>
                          <m:r>
                            <w:rPr>
                              <w:rFonts w:ascii="Cambria Math" w:hAnsi="Cambria Math" w:cstheme="minorHAnsi"/>
                            </w:rPr>
                            <m:t>i</m:t>
                          </m:r>
                        </m:sub>
                      </m:sSub>
                    </m:num>
                    <m:den>
                      <m:r>
                        <w:rPr>
                          <w:rFonts w:ascii="Cambria Math" w:hAnsi="Cambria Math" w:cstheme="minorHAnsi"/>
                        </w:rPr>
                        <m:t>1-</m:t>
                      </m:r>
                      <m:sSub>
                        <m:sSubPr>
                          <m:ctrlPr>
                            <w:rPr>
                              <w:rFonts w:ascii="Cambria Math" w:hAnsi="Cambria Math" w:cstheme="minorHAnsi"/>
                              <w:i/>
                              <w:iCs/>
                            </w:rPr>
                          </m:ctrlPr>
                        </m:sSubPr>
                        <m:e>
                          <m:r>
                            <w:rPr>
                              <w:rFonts w:ascii="Cambria Math" w:hAnsi="Cambria Math" w:cstheme="minorHAnsi"/>
                            </w:rPr>
                            <m:t>p</m:t>
                          </m:r>
                        </m:e>
                        <m:sub>
                          <m:r>
                            <w:rPr>
                              <w:rFonts w:ascii="Cambria Math" w:hAnsi="Cambria Math" w:cstheme="minorHAnsi"/>
                            </w:rPr>
                            <m:t>i</m:t>
                          </m:r>
                        </m:sub>
                      </m:sSub>
                    </m:den>
                  </m:f>
                </m:e>
              </m:d>
            </m:e>
          </m:func>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 +</m:t>
          </m:r>
          <m:sSub>
            <m:sSubPr>
              <m:ctrlPr>
                <w:rPr>
                  <w:rFonts w:ascii="Cambria Math" w:hAnsi="Cambria Math" w:cstheme="minorHAnsi"/>
                  <w:i/>
                  <w:iCs/>
                </w:rPr>
              </m:ctrlPr>
            </m:sSubPr>
            <m:e>
              <m:r>
                <w:rPr>
                  <w:rFonts w:ascii="Cambria Math" w:hAnsi="Cambria Math" w:cstheme="minorHAnsi"/>
                </w:rPr>
                <m:t> </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1</m:t>
                  </m:r>
                </m:sub>
              </m:sSub>
              <m:r>
                <w:rPr>
                  <w:rFonts w:ascii="Cambria Math" w:hAnsi="Cambria Math" w:cstheme="minorHAnsi"/>
                </w:rPr>
                <m:t>X</m:t>
              </m:r>
            </m:e>
            <m:sub>
              <m:r>
                <w:rPr>
                  <w:rFonts w:ascii="Cambria Math" w:hAnsi="Cambria Math" w:cstheme="minorHAnsi"/>
                </w:rPr>
                <m:t>1i</m:t>
              </m:r>
            </m:sub>
          </m:sSub>
          <m:r>
            <w:rPr>
              <w:rFonts w:ascii="Cambria Math" w:hAnsi="Cambria Math" w:cstheme="minorHAnsi"/>
            </w:rPr>
            <m:t xml:space="preserve">+ </m:t>
          </m:r>
          <m:sSub>
            <m:sSubPr>
              <m:ctrlPr>
                <w:rPr>
                  <w:rFonts w:ascii="Cambria Math" w:hAnsi="Cambria Math" w:cstheme="minorHAnsi"/>
                  <w:i/>
                  <w:iCs/>
                </w:rPr>
              </m:ctrlPr>
            </m:sSubPr>
            <m:e>
              <m:r>
                <w:rPr>
                  <w:rFonts w:ascii="Cambria Math" w:hAnsi="Cambria Math" w:cstheme="minorHAnsi"/>
                </w:rPr>
                <m:t> </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2</m:t>
                  </m:r>
                </m:sub>
              </m:sSub>
              <m:r>
                <w:rPr>
                  <w:rFonts w:ascii="Cambria Math" w:hAnsi="Cambria Math" w:cstheme="minorHAnsi"/>
                </w:rPr>
                <m:t>X</m:t>
              </m:r>
            </m:e>
            <m:sub>
              <m:r>
                <w:rPr>
                  <w:rFonts w:ascii="Cambria Math" w:hAnsi="Cambria Math" w:cstheme="minorHAnsi"/>
                </w:rPr>
                <m:t>2i</m:t>
              </m:r>
            </m:sub>
          </m:sSub>
          <m:r>
            <w:rPr>
              <w:rFonts w:ascii="Cambria Math" w:hAnsi="Cambria Math" w:cstheme="minorHAnsi"/>
            </w:rPr>
            <m:t xml:space="preserve"> + …</m:t>
          </m:r>
          <m:sSub>
            <m:sSubPr>
              <m:ctrlPr>
                <w:rPr>
                  <w:rFonts w:ascii="Cambria Math" w:hAnsi="Cambria Math" w:cstheme="minorHAnsi"/>
                  <w:i/>
                  <w:iCs/>
                </w:rPr>
              </m:ctrlPr>
            </m:sSubPr>
            <m:e>
              <m:r>
                <w:rPr>
                  <w:rFonts w:ascii="Cambria Math" w:hAnsi="Cambria Math" w:cstheme="minorHAnsi"/>
                </w:rPr>
                <m:t> </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k</m:t>
                  </m:r>
                </m:sub>
              </m:sSub>
              <m:r>
                <w:rPr>
                  <w:rFonts w:ascii="Cambria Math" w:hAnsi="Cambria Math" w:cstheme="minorHAnsi"/>
                </w:rPr>
                <m:t>X</m:t>
              </m:r>
            </m:e>
            <m:sub>
              <m:r>
                <w:rPr>
                  <w:rFonts w:ascii="Cambria Math" w:hAnsi="Cambria Math" w:cstheme="minorHAnsi"/>
                </w:rPr>
                <m:t>ki</m:t>
              </m:r>
            </m:sub>
          </m:sSub>
        </m:oMath>
      </m:oMathPara>
    </w:p>
    <w:p w14:paraId="214A70F5" w14:textId="77777777" w:rsidR="00D20CA8" w:rsidRPr="00D20CA8" w:rsidRDefault="00D20CA8" w:rsidP="005C0E20">
      <w:pPr>
        <w:jc w:val="lowKashida"/>
        <w:rPr>
          <w:rFonts w:asciiTheme="majorBidi" w:hAnsiTheme="majorBidi" w:cstheme="majorBidi"/>
          <w:sz w:val="24"/>
          <w:szCs w:val="24"/>
        </w:rPr>
      </w:pPr>
    </w:p>
    <w:p w14:paraId="4B09B959" w14:textId="152277FB" w:rsidR="00CB3B92" w:rsidRDefault="00D20CA8" w:rsidP="00CB3B92">
      <w:pPr>
        <w:spacing w:after="0" w:line="240" w:lineRule="auto"/>
        <w:jc w:val="both"/>
        <w:rPr>
          <w:rFonts w:eastAsiaTheme="minorEastAsia" w:cstheme="minorHAnsi"/>
          <w:iCs/>
        </w:rPr>
      </w:pPr>
      <w:r w:rsidRPr="00F9700A">
        <w:rPr>
          <w:rFonts w:eastAsiaTheme="minorEastAsia" w:cstheme="minorHAnsi"/>
          <w:iCs/>
        </w:rPr>
        <w:t xml:space="preserve">In </w:t>
      </w:r>
      <w:r>
        <w:rPr>
          <w:rFonts w:eastAsiaTheme="minorEastAsia" w:cstheme="minorHAnsi"/>
          <w:iCs/>
        </w:rPr>
        <w:t xml:space="preserve">the above </w:t>
      </w:r>
      <w:r w:rsidRPr="00F9700A">
        <w:rPr>
          <w:rFonts w:eastAsiaTheme="minorEastAsia" w:cstheme="minorHAnsi"/>
          <w:iCs/>
        </w:rPr>
        <w:t xml:space="preserve">equation,  </w:t>
      </w:r>
      <m:oMath>
        <m:r>
          <w:rPr>
            <w:rFonts w:ascii="Cambria Math" w:hAnsi="Cambria Math" w:cstheme="minorHAnsi"/>
          </w:rPr>
          <m:t>p</m:t>
        </m:r>
      </m:oMath>
      <w:r w:rsidRPr="00F9700A">
        <w:rPr>
          <w:rFonts w:eastAsiaTheme="minorEastAsia" w:cstheme="minorHAnsi"/>
        </w:rPr>
        <w:t xml:space="preserve"> is the probability of the outcome, </w:t>
      </w:r>
      <m:oMath>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 xml:space="preserve"> </m:t>
        </m:r>
      </m:oMath>
      <w:r w:rsidRPr="00F9700A">
        <w:rPr>
          <w:rFonts w:eastAsiaTheme="minorEastAsia" w:cstheme="minorHAnsi"/>
          <w:iCs/>
        </w:rPr>
        <w:t xml:space="preserve"> is the intercept term, and </w:t>
      </w:r>
      <m:oMath>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1</m:t>
            </m:r>
          </m:sub>
        </m:sSub>
        <m:r>
          <w:rPr>
            <w:rFonts w:ascii="Cambria Math" w:hAnsi="Cambria Math" w:cstheme="minorHAnsi"/>
          </w:rPr>
          <m:t xml:space="preserve"> </m:t>
        </m:r>
      </m:oMath>
      <w:r w:rsidRPr="00F9700A">
        <w:rPr>
          <w:rFonts w:eastAsiaTheme="minorEastAsia" w:cstheme="minorHAnsi"/>
          <w:iCs/>
        </w:rPr>
        <w:t xml:space="preserve"> </w:t>
      </w:r>
      <m:oMath>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2</m:t>
            </m:r>
          </m:sub>
        </m:sSub>
        <m:r>
          <w:rPr>
            <w:rFonts w:ascii="Cambria Math" w:hAnsi="Cambria Math" w:cstheme="minorHAnsi"/>
          </w:rPr>
          <m:t xml:space="preserve">…… </m:t>
        </m:r>
      </m:oMath>
      <w:r w:rsidRPr="00F9700A">
        <w:rPr>
          <w:rFonts w:eastAsiaTheme="minorEastAsia" w:cstheme="minorHAnsi"/>
          <w:iCs/>
        </w:rPr>
        <w:t xml:space="preserve"> </w:t>
      </w:r>
      <m:oMath>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k</m:t>
            </m:r>
          </m:sub>
        </m:sSub>
        <m:r>
          <w:rPr>
            <w:rFonts w:ascii="Cambria Math" w:hAnsi="Cambria Math" w:cstheme="minorHAnsi"/>
          </w:rPr>
          <m:t xml:space="preserve"> </m:t>
        </m:r>
      </m:oMath>
      <w:r w:rsidRPr="00F9700A">
        <w:rPr>
          <w:rFonts w:eastAsiaTheme="minorEastAsia" w:cstheme="minorHAnsi"/>
          <w:iCs/>
        </w:rPr>
        <w:t xml:space="preserve">  are the co-efficient associated with each explanatory variable </w:t>
      </w:r>
      <m:oMath>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oMath>
      <w:r w:rsidRPr="00F9700A">
        <w:rPr>
          <w:rFonts w:eastAsiaTheme="minorEastAsia" w:cstheme="minorHAnsi"/>
          <w:iCs/>
        </w:rPr>
        <w:t xml:space="preserve">, </w:t>
      </w:r>
      <m:oMath>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oMath>
      <w:r w:rsidRPr="00F9700A">
        <w:rPr>
          <w:rFonts w:eastAsiaTheme="minorEastAsia" w:cstheme="minorHAnsi"/>
          <w:iCs/>
        </w:rPr>
        <w:t xml:space="preserve">…. </w:t>
      </w:r>
      <w:r w:rsidRPr="00F9700A">
        <w:rPr>
          <w:rFonts w:cstheme="minorHAnsi"/>
          <w:i/>
          <w:iCs/>
        </w:rPr>
        <w:t xml:space="preserve"> </w:t>
      </w:r>
      <m:oMath>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k</m:t>
            </m:r>
          </m:sub>
        </m:sSub>
      </m:oMath>
      <w:r w:rsidRPr="00F9700A">
        <w:rPr>
          <w:rFonts w:eastAsiaTheme="minorEastAsia" w:cstheme="minorHAnsi"/>
          <w:iCs/>
        </w:rPr>
        <w:t xml:space="preserve">. </w:t>
      </w:r>
      <w:r w:rsidRPr="00F9700A">
        <w:rPr>
          <w:rFonts w:cstheme="minorHAnsi"/>
        </w:rPr>
        <w:t xml:space="preserve">The result of logistic regression is commonly interpreted as odd ratios. The odd ratios are the exponential of logistic coefficients. For exponent of  </w:t>
      </w:r>
      <m:oMath>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k</m:t>
            </m:r>
          </m:sub>
        </m:sSub>
        <m:r>
          <w:rPr>
            <w:rFonts w:ascii="Cambria Math" w:hAnsi="Cambria Math" w:cstheme="minorHAnsi"/>
          </w:rPr>
          <m:t> </m:t>
        </m:r>
      </m:oMath>
      <w:r w:rsidRPr="00F9700A">
        <w:rPr>
          <w:rFonts w:eastAsiaTheme="minorEastAsia" w:cstheme="minorHAnsi"/>
        </w:rPr>
        <w:t>greater than one is interpreted as the odd of the outcome occurring are "exp (</w:t>
      </w:r>
      <m:oMath>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k</m:t>
            </m:r>
          </m:sub>
        </m:sSub>
        <m:r>
          <w:rPr>
            <w:rFonts w:ascii="Cambria Math" w:hAnsi="Cambria Math" w:cstheme="minorHAnsi"/>
          </w:rPr>
          <m:t>)</m:t>
        </m:r>
      </m:oMath>
      <w:r w:rsidRPr="00F9700A">
        <w:rPr>
          <w:rFonts w:eastAsiaTheme="minorEastAsia" w:cstheme="minorHAnsi"/>
          <w:iCs/>
        </w:rPr>
        <w:t xml:space="preserve"> times larger", and for the exponent of</w:t>
      </w:r>
      <w:r w:rsidRPr="00F9700A">
        <w:rPr>
          <w:rFonts w:cstheme="minorHAnsi"/>
        </w:rPr>
        <w:t xml:space="preserve">  </w:t>
      </w:r>
      <m:oMath>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k</m:t>
            </m:r>
          </m:sub>
        </m:sSub>
        <m:r>
          <w:rPr>
            <w:rFonts w:ascii="Cambria Math" w:hAnsi="Cambria Math" w:cstheme="minorHAnsi"/>
          </w:rPr>
          <m:t> </m:t>
        </m:r>
      </m:oMath>
      <w:r w:rsidRPr="00F9700A">
        <w:rPr>
          <w:rFonts w:eastAsiaTheme="minorEastAsia" w:cstheme="minorHAnsi"/>
        </w:rPr>
        <w:t>less than one is interpreted as the odd is "exp (</w:t>
      </w:r>
      <m:oMath>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k</m:t>
            </m:r>
          </m:sub>
        </m:sSub>
        <m:r>
          <w:rPr>
            <w:rFonts w:ascii="Cambria Math" w:hAnsi="Cambria Math" w:cstheme="minorHAnsi"/>
          </w:rPr>
          <m:t>)</m:t>
        </m:r>
      </m:oMath>
      <w:r w:rsidRPr="00F9700A">
        <w:rPr>
          <w:rFonts w:eastAsiaTheme="minorEastAsia" w:cstheme="minorHAnsi"/>
          <w:iCs/>
        </w:rPr>
        <w:t xml:space="preserve"> times smaller". The odd ratio is computed by changing one variable and holding another variable constant </w:t>
      </w:r>
      <w:r w:rsidRPr="00F9700A">
        <w:rPr>
          <w:rFonts w:eastAsiaTheme="minorEastAsia" w:cstheme="minorHAnsi"/>
          <w:iCs/>
        </w:rPr>
        <w:fldChar w:fldCharType="begin"/>
      </w:r>
      <w:r w:rsidRPr="00F9700A">
        <w:rPr>
          <w:rFonts w:eastAsiaTheme="minorEastAsia" w:cstheme="minorHAnsi"/>
          <w:iCs/>
        </w:rPr>
        <w:instrText xml:space="preserve"> ADDIN ZOTERO_ITEM CSL_CITATION {"citationID":"Zo0KURfK","properties":{"formattedCitation":"(Long &amp; Freese, n.d.)","plainCitation":"(Long &amp; Freese, n.d.)","dontUpdate":true,"noteIndex":0},"citationItems":[{"id":999,"uris":["http://zotero.org/users/local/mhot0wTe/items/N9J8FY4T"],"itemData":{"id":999,"type":"article-journal","language":"en","source":"Zotero","title":"Regression Models for Categorical Dependent Variables Using Stata","author":[{"family":"Long","given":"Scott"},{"family":"Freese","given":"Jeremy"}]}}],"schema":"https://github.com/citation-style-language/schema/raw/master/csl-citation.json"} </w:instrText>
      </w:r>
      <w:r w:rsidRPr="00F9700A">
        <w:rPr>
          <w:rFonts w:eastAsiaTheme="minorEastAsia" w:cstheme="minorHAnsi"/>
          <w:iCs/>
        </w:rPr>
        <w:fldChar w:fldCharType="separate"/>
      </w:r>
      <w:r w:rsidRPr="00F9700A">
        <w:rPr>
          <w:rFonts w:cstheme="minorHAnsi"/>
        </w:rPr>
        <w:t>(Long and Freese, 2014)</w:t>
      </w:r>
      <w:r w:rsidRPr="00F9700A">
        <w:rPr>
          <w:rFonts w:eastAsiaTheme="minorEastAsia" w:cstheme="minorHAnsi"/>
          <w:iCs/>
        </w:rPr>
        <w:fldChar w:fldCharType="end"/>
      </w:r>
      <w:r w:rsidRPr="00F9700A">
        <w:rPr>
          <w:rFonts w:eastAsiaTheme="minorEastAsia" w:cstheme="minorHAnsi"/>
          <w:iCs/>
        </w:rPr>
        <w:t xml:space="preserve">. </w:t>
      </w:r>
    </w:p>
    <w:p w14:paraId="590AE5E0" w14:textId="77777777" w:rsidR="00382510" w:rsidRDefault="00382510" w:rsidP="00CB3B92">
      <w:pPr>
        <w:spacing w:after="0" w:line="240" w:lineRule="auto"/>
        <w:jc w:val="both"/>
        <w:rPr>
          <w:rFonts w:eastAsiaTheme="minorEastAsia" w:cstheme="minorHAnsi"/>
          <w:iCs/>
        </w:rPr>
      </w:pPr>
    </w:p>
    <w:p w14:paraId="1C49B269" w14:textId="5987D52B" w:rsidR="00900A0E" w:rsidRDefault="00900A0E" w:rsidP="00CB3B92">
      <w:pPr>
        <w:spacing w:after="0" w:line="240" w:lineRule="auto"/>
        <w:jc w:val="both"/>
        <w:rPr>
          <w:rFonts w:asciiTheme="majorBidi" w:hAnsiTheme="majorBidi" w:cstheme="majorBidi"/>
          <w:sz w:val="24"/>
          <w:szCs w:val="24"/>
        </w:rPr>
      </w:pPr>
      <w:r w:rsidRPr="00D20CA8">
        <w:rPr>
          <w:rFonts w:asciiTheme="majorBidi" w:hAnsiTheme="majorBidi" w:cstheme="majorBidi"/>
          <w:sz w:val="24"/>
          <w:szCs w:val="24"/>
        </w:rPr>
        <w:t xml:space="preserve">The remainder of the survey results are presented through descriptive statistics, including frequency distribution tables and cross-tabulations.  </w:t>
      </w:r>
    </w:p>
    <w:p w14:paraId="429F0EC1" w14:textId="77777777" w:rsidR="00382510" w:rsidRPr="00D20CA8" w:rsidRDefault="00382510" w:rsidP="00CB3B92">
      <w:pPr>
        <w:spacing w:after="0" w:line="240" w:lineRule="auto"/>
        <w:jc w:val="both"/>
        <w:rPr>
          <w:rFonts w:asciiTheme="majorBidi" w:hAnsiTheme="majorBidi" w:cstheme="majorBidi"/>
          <w:sz w:val="24"/>
          <w:szCs w:val="24"/>
        </w:rPr>
      </w:pPr>
    </w:p>
    <w:p w14:paraId="524E2B61" w14:textId="54951D58" w:rsidR="00900A0E" w:rsidRPr="00D20CA8" w:rsidRDefault="002529D3" w:rsidP="005C0E20">
      <w:pPr>
        <w:jc w:val="lowKashida"/>
        <w:rPr>
          <w:rFonts w:asciiTheme="majorBidi" w:hAnsiTheme="majorBidi" w:cstheme="majorBidi"/>
          <w:sz w:val="24"/>
          <w:szCs w:val="24"/>
        </w:rPr>
      </w:pPr>
      <w:r w:rsidRPr="00D20CA8">
        <w:rPr>
          <w:rFonts w:asciiTheme="majorBidi" w:hAnsiTheme="majorBidi" w:cstheme="majorBidi"/>
          <w:sz w:val="24"/>
          <w:szCs w:val="24"/>
        </w:rPr>
        <w:t>3.2</w:t>
      </w:r>
      <w:r w:rsidRPr="00D20CA8">
        <w:rPr>
          <w:rFonts w:asciiTheme="majorBidi" w:hAnsiTheme="majorBidi" w:cstheme="majorBidi"/>
          <w:sz w:val="24"/>
          <w:szCs w:val="24"/>
        </w:rPr>
        <w:tab/>
      </w:r>
      <w:r w:rsidR="00900A0E" w:rsidRPr="00D20CA8">
        <w:rPr>
          <w:rFonts w:asciiTheme="majorBidi" w:hAnsiTheme="majorBidi" w:cstheme="majorBidi"/>
          <w:sz w:val="24"/>
          <w:szCs w:val="24"/>
        </w:rPr>
        <w:t xml:space="preserve">Variable Description: </w:t>
      </w:r>
    </w:p>
    <w:p w14:paraId="1BE2FBC9" w14:textId="7777777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We examine the relationship between the binary dependent variable, consumer participation in CE, and explanatory variables, awareness about CE (binary), awareness about the role of consumers (binary), and level of education (categorical). The following variables are used in the binary logistic regression analysis.</w:t>
      </w:r>
    </w:p>
    <w:p w14:paraId="4402C066" w14:textId="480F3A5E" w:rsidR="002529D3" w:rsidRPr="00D20CA8" w:rsidRDefault="00900A0E" w:rsidP="00E21143">
      <w:pPr>
        <w:spacing w:after="0" w:line="240" w:lineRule="auto"/>
        <w:jc w:val="lowKashida"/>
        <w:rPr>
          <w:rFonts w:asciiTheme="majorBidi" w:hAnsiTheme="majorBidi" w:cstheme="majorBidi"/>
          <w:sz w:val="24"/>
          <w:szCs w:val="24"/>
        </w:rPr>
      </w:pPr>
      <w:r w:rsidRPr="00D20CA8">
        <w:rPr>
          <w:rFonts w:asciiTheme="majorBidi" w:hAnsiTheme="majorBidi" w:cstheme="majorBidi"/>
          <w:sz w:val="24"/>
          <w:szCs w:val="24"/>
        </w:rPr>
        <w:t>Consumers participat</w:t>
      </w:r>
      <w:r w:rsidR="00F436A1">
        <w:rPr>
          <w:rFonts w:asciiTheme="majorBidi" w:hAnsiTheme="majorBidi" w:cstheme="majorBidi"/>
          <w:sz w:val="24"/>
          <w:szCs w:val="24"/>
        </w:rPr>
        <w:t>e in CE; 1: Consumers participate in CE activities; otherwise, 0</w:t>
      </w:r>
      <w:r w:rsidRPr="00D20CA8">
        <w:rPr>
          <w:rFonts w:asciiTheme="majorBidi" w:hAnsiTheme="majorBidi" w:cstheme="majorBidi"/>
          <w:sz w:val="24"/>
          <w:szCs w:val="24"/>
        </w:rPr>
        <w:t>.</w:t>
      </w:r>
    </w:p>
    <w:p w14:paraId="156B33C4" w14:textId="4732848C" w:rsidR="00900A0E" w:rsidRPr="00D20CA8" w:rsidRDefault="00900A0E" w:rsidP="00E21143">
      <w:pPr>
        <w:spacing w:after="0" w:line="240" w:lineRule="auto"/>
        <w:jc w:val="lowKashida"/>
        <w:rPr>
          <w:rFonts w:asciiTheme="majorBidi" w:hAnsiTheme="majorBidi" w:cstheme="majorBidi"/>
          <w:sz w:val="24"/>
          <w:szCs w:val="24"/>
        </w:rPr>
      </w:pPr>
      <w:r w:rsidRPr="00D20CA8">
        <w:rPr>
          <w:rFonts w:asciiTheme="majorBidi" w:hAnsiTheme="majorBidi" w:cstheme="majorBidi"/>
          <w:sz w:val="24"/>
          <w:szCs w:val="24"/>
        </w:rPr>
        <w:t>Awareness about CE, 1: Consumers possess knowledge of CE</w:t>
      </w:r>
      <w:r w:rsidR="00F436A1">
        <w:rPr>
          <w:rFonts w:asciiTheme="majorBidi" w:hAnsiTheme="majorBidi" w:cstheme="majorBidi"/>
          <w:sz w:val="24"/>
          <w:szCs w:val="24"/>
        </w:rPr>
        <w:t>;</w:t>
      </w:r>
      <w:r w:rsidRPr="00D20CA8">
        <w:rPr>
          <w:rFonts w:asciiTheme="majorBidi" w:hAnsiTheme="majorBidi" w:cstheme="majorBidi"/>
          <w:sz w:val="24"/>
          <w:szCs w:val="24"/>
        </w:rPr>
        <w:t xml:space="preserve"> otherwise</w:t>
      </w:r>
      <w:r w:rsidR="00F436A1">
        <w:rPr>
          <w:rFonts w:asciiTheme="majorBidi" w:hAnsiTheme="majorBidi" w:cstheme="majorBidi"/>
          <w:sz w:val="24"/>
          <w:szCs w:val="24"/>
        </w:rPr>
        <w:t>, 0</w:t>
      </w:r>
      <w:r w:rsidRPr="00D20CA8">
        <w:rPr>
          <w:rFonts w:asciiTheme="majorBidi" w:hAnsiTheme="majorBidi" w:cstheme="majorBidi"/>
          <w:sz w:val="24"/>
          <w:szCs w:val="24"/>
        </w:rPr>
        <w:t>.</w:t>
      </w:r>
    </w:p>
    <w:p w14:paraId="4CAD9508" w14:textId="1CF19FE8" w:rsidR="00900A0E" w:rsidRPr="00D20CA8" w:rsidRDefault="00900A0E" w:rsidP="00E21143">
      <w:pPr>
        <w:spacing w:after="0" w:line="240" w:lineRule="auto"/>
        <w:jc w:val="lowKashida"/>
        <w:rPr>
          <w:rFonts w:asciiTheme="majorBidi" w:hAnsiTheme="majorBidi" w:cstheme="majorBidi"/>
          <w:sz w:val="24"/>
          <w:szCs w:val="24"/>
        </w:rPr>
      </w:pPr>
      <w:r w:rsidRPr="00D20CA8">
        <w:rPr>
          <w:rFonts w:asciiTheme="majorBidi" w:hAnsiTheme="majorBidi" w:cstheme="majorBidi"/>
          <w:sz w:val="24"/>
          <w:szCs w:val="24"/>
        </w:rPr>
        <w:t>Awareness about the role of consumers in CE</w:t>
      </w:r>
      <w:r w:rsidR="00F436A1">
        <w:rPr>
          <w:rFonts w:asciiTheme="majorBidi" w:hAnsiTheme="majorBidi" w:cstheme="majorBidi"/>
          <w:sz w:val="24"/>
          <w:szCs w:val="24"/>
        </w:rPr>
        <w:t>:</w:t>
      </w:r>
      <w:r w:rsidRPr="00D20CA8">
        <w:rPr>
          <w:rFonts w:asciiTheme="majorBidi" w:hAnsiTheme="majorBidi" w:cstheme="majorBidi"/>
          <w:sz w:val="24"/>
          <w:szCs w:val="24"/>
        </w:rPr>
        <w:t xml:space="preserve"> 1: Consumers are aware of their role in CE</w:t>
      </w:r>
      <w:r w:rsidR="00F436A1">
        <w:rPr>
          <w:rFonts w:asciiTheme="majorBidi" w:hAnsiTheme="majorBidi" w:cstheme="majorBidi"/>
          <w:sz w:val="24"/>
          <w:szCs w:val="24"/>
        </w:rPr>
        <w:t>;</w:t>
      </w:r>
      <w:r w:rsidRPr="00D20CA8">
        <w:rPr>
          <w:rFonts w:asciiTheme="majorBidi" w:hAnsiTheme="majorBidi" w:cstheme="majorBidi"/>
          <w:sz w:val="24"/>
          <w:szCs w:val="24"/>
        </w:rPr>
        <w:t xml:space="preserve"> otherwise</w:t>
      </w:r>
      <w:r w:rsidR="00F436A1">
        <w:rPr>
          <w:rFonts w:asciiTheme="majorBidi" w:hAnsiTheme="majorBidi" w:cstheme="majorBidi"/>
          <w:sz w:val="24"/>
          <w:szCs w:val="24"/>
        </w:rPr>
        <w:t>, 0</w:t>
      </w:r>
      <w:r w:rsidRPr="00D20CA8">
        <w:rPr>
          <w:rFonts w:asciiTheme="majorBidi" w:hAnsiTheme="majorBidi" w:cstheme="majorBidi"/>
          <w:sz w:val="24"/>
          <w:szCs w:val="24"/>
        </w:rPr>
        <w:t>.</w:t>
      </w:r>
    </w:p>
    <w:p w14:paraId="3A3B41E7" w14:textId="4F2E3EEF" w:rsidR="00900A0E" w:rsidRPr="00D20CA8" w:rsidRDefault="00900A0E" w:rsidP="00E21143">
      <w:pPr>
        <w:spacing w:after="0" w:line="240" w:lineRule="auto"/>
        <w:jc w:val="lowKashida"/>
        <w:rPr>
          <w:rFonts w:asciiTheme="majorBidi" w:hAnsiTheme="majorBidi" w:cstheme="majorBidi"/>
          <w:sz w:val="24"/>
          <w:szCs w:val="24"/>
        </w:rPr>
      </w:pPr>
      <w:r w:rsidRPr="00D20CA8">
        <w:rPr>
          <w:rFonts w:asciiTheme="majorBidi" w:hAnsiTheme="majorBidi" w:cstheme="majorBidi"/>
          <w:sz w:val="24"/>
          <w:szCs w:val="24"/>
        </w:rPr>
        <w:t xml:space="preserve">Education, Secondary School=0, Bachelors=1, Master=2, PhD=3                                                                                                                                                </w:t>
      </w:r>
    </w:p>
    <w:p w14:paraId="7B2779AE" w14:textId="77777777" w:rsidR="00E21143" w:rsidRDefault="00E21143" w:rsidP="00E21143">
      <w:pPr>
        <w:jc w:val="lowKashida"/>
        <w:rPr>
          <w:rFonts w:asciiTheme="majorBidi" w:hAnsiTheme="majorBidi" w:cstheme="majorBidi"/>
          <w:sz w:val="24"/>
          <w:szCs w:val="24"/>
        </w:rPr>
      </w:pPr>
    </w:p>
    <w:p w14:paraId="54AF9EE0" w14:textId="43E31962" w:rsidR="00900A0E" w:rsidRPr="00D20CA8" w:rsidRDefault="00900A0E" w:rsidP="00E21143">
      <w:pPr>
        <w:jc w:val="lowKashida"/>
        <w:rPr>
          <w:rFonts w:asciiTheme="majorBidi" w:hAnsiTheme="majorBidi" w:cstheme="majorBidi"/>
          <w:sz w:val="24"/>
          <w:szCs w:val="24"/>
        </w:rPr>
      </w:pPr>
      <w:r w:rsidRPr="00D20CA8">
        <w:rPr>
          <w:rFonts w:asciiTheme="majorBidi" w:hAnsiTheme="majorBidi" w:cstheme="majorBidi"/>
          <w:sz w:val="24"/>
          <w:szCs w:val="24"/>
        </w:rPr>
        <w:t xml:space="preserve">The responses </w:t>
      </w:r>
      <w:r w:rsidR="00F436A1">
        <w:rPr>
          <w:rFonts w:asciiTheme="majorBidi" w:hAnsiTheme="majorBidi" w:cstheme="majorBidi"/>
          <w:sz w:val="24"/>
          <w:szCs w:val="24"/>
        </w:rPr>
        <w:t>were assigned a value of 0 from the base category, to which the other categories were</w:t>
      </w:r>
      <w:r w:rsidRPr="00D20CA8">
        <w:rPr>
          <w:rFonts w:asciiTheme="majorBidi" w:hAnsiTheme="majorBidi" w:cstheme="majorBidi"/>
          <w:sz w:val="24"/>
          <w:szCs w:val="24"/>
        </w:rPr>
        <w:t xml:space="preserve"> compared. The dependent variable participation is derived from the consumers' responses after they are introduced to CE and are asked if they think they are currently participating in CE. </w:t>
      </w:r>
    </w:p>
    <w:p w14:paraId="706ECEF7" w14:textId="12690DF6" w:rsidR="00900A0E" w:rsidRPr="00D20CA8" w:rsidRDefault="00F3717D" w:rsidP="005C0E20">
      <w:pPr>
        <w:jc w:val="lowKashida"/>
        <w:rPr>
          <w:rFonts w:asciiTheme="majorBidi" w:hAnsiTheme="majorBidi" w:cstheme="majorBidi"/>
          <w:sz w:val="24"/>
          <w:szCs w:val="24"/>
        </w:rPr>
      </w:pPr>
      <w:r w:rsidRPr="00D20CA8">
        <w:rPr>
          <w:rFonts w:asciiTheme="majorBidi" w:hAnsiTheme="majorBidi" w:cstheme="majorBidi"/>
          <w:sz w:val="24"/>
          <w:szCs w:val="24"/>
        </w:rPr>
        <w:t>3.3</w:t>
      </w:r>
      <w:r w:rsidRPr="00D20CA8">
        <w:rPr>
          <w:rFonts w:asciiTheme="majorBidi" w:hAnsiTheme="majorBidi" w:cstheme="majorBidi"/>
          <w:sz w:val="24"/>
          <w:szCs w:val="24"/>
        </w:rPr>
        <w:tab/>
      </w:r>
      <w:r w:rsidR="00900A0E" w:rsidRPr="00D20CA8">
        <w:rPr>
          <w:rFonts w:asciiTheme="majorBidi" w:hAnsiTheme="majorBidi" w:cstheme="majorBidi"/>
          <w:sz w:val="24"/>
          <w:szCs w:val="24"/>
        </w:rPr>
        <w:t xml:space="preserve">Questionnaire development </w:t>
      </w:r>
    </w:p>
    <w:p w14:paraId="6606C088" w14:textId="0B89B6C0"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The questionnaire is structured into three sections: Perception, habits, and willingness to pay, with varying distribution throughout the survey. Following the framework by Colasante &amp; D'Adamo </w:t>
      </w:r>
      <w:r w:rsidRPr="00D20CA8">
        <w:rPr>
          <w:rFonts w:asciiTheme="majorBidi" w:hAnsiTheme="majorBidi" w:cstheme="majorBidi"/>
          <w:sz w:val="24"/>
          <w:szCs w:val="24"/>
        </w:rPr>
        <w:lastRenderedPageBreak/>
        <w:t xml:space="preserve">(2021), the questionnaire begins by assessing consumer awareness and perception of </w:t>
      </w:r>
      <w:r w:rsidR="00F436A1">
        <w:rPr>
          <w:rFonts w:asciiTheme="majorBidi" w:hAnsiTheme="majorBidi" w:cstheme="majorBidi"/>
          <w:sz w:val="24"/>
          <w:szCs w:val="24"/>
        </w:rPr>
        <w:t xml:space="preserve">the </w:t>
      </w:r>
      <w:r w:rsidRPr="00D20CA8">
        <w:rPr>
          <w:rFonts w:asciiTheme="majorBidi" w:hAnsiTheme="majorBidi" w:cstheme="majorBidi"/>
          <w:sz w:val="24"/>
          <w:szCs w:val="24"/>
        </w:rPr>
        <w:t>CE, including aspects like religious considerations, networking, and resource usage. The second part focuses on pro-environmental behavior and circularity components, while the third part introduces CE concepts and explores barriers to participation, responses to incentives, motivation, current participation status, and demographic information.</w:t>
      </w:r>
    </w:p>
    <w:p w14:paraId="3D2DE398" w14:textId="121E8375"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The study co</w:t>
      </w:r>
      <w:r w:rsidR="00F436A1">
        <w:rPr>
          <w:rFonts w:asciiTheme="majorBidi" w:hAnsiTheme="majorBidi" w:cstheme="majorBidi"/>
          <w:sz w:val="24"/>
          <w:szCs w:val="24"/>
        </w:rPr>
        <w:t>mprehensively evaluated</w:t>
      </w:r>
      <w:r w:rsidRPr="00D20CA8">
        <w:rPr>
          <w:rFonts w:asciiTheme="majorBidi" w:hAnsiTheme="majorBidi" w:cstheme="majorBidi"/>
          <w:sz w:val="24"/>
          <w:szCs w:val="24"/>
        </w:rPr>
        <w:t xml:space="preserve"> consumer engagement in building the </w:t>
      </w:r>
      <w:r w:rsidR="00EC5CA4">
        <w:rPr>
          <w:rFonts w:asciiTheme="majorBidi" w:hAnsiTheme="majorBidi" w:cstheme="majorBidi"/>
          <w:sz w:val="24"/>
          <w:szCs w:val="24"/>
        </w:rPr>
        <w:t>CE</w:t>
      </w:r>
      <w:r w:rsidRPr="00D20CA8">
        <w:rPr>
          <w:rFonts w:asciiTheme="majorBidi" w:hAnsiTheme="majorBidi" w:cstheme="majorBidi"/>
          <w:sz w:val="24"/>
          <w:szCs w:val="24"/>
        </w:rPr>
        <w:t xml:space="preserve"> (CE) in Qatar. Data collection took place online and offline from May to July 2023, utilizing SurveyMonkey with 402 randomly selected respondents from residents and citizens. </w:t>
      </w:r>
      <w:r w:rsidR="00F436A1">
        <w:rPr>
          <w:rFonts w:asciiTheme="majorBidi" w:hAnsiTheme="majorBidi" w:cstheme="majorBidi"/>
          <w:sz w:val="24"/>
          <w:szCs w:val="24"/>
        </w:rPr>
        <w:t>An equal number of respondents from expatriates and Qataris were included to ensure a balanced perspective</w:t>
      </w:r>
      <w:r w:rsidRPr="00D20CA8">
        <w:rPr>
          <w:rFonts w:asciiTheme="majorBidi" w:hAnsiTheme="majorBidi" w:cstheme="majorBidi"/>
          <w:sz w:val="24"/>
          <w:szCs w:val="24"/>
        </w:rPr>
        <w:t>. Anonymity and confidentiality were maintained during data collection, with a bilingual questionnaire in English and Arabic to prevent contextual errors. A pilot test was conducted before the survey distribution, leading to questionnaire adjustments based on feedback from the research team.</w:t>
      </w:r>
    </w:p>
    <w:p w14:paraId="24810088" w14:textId="77777777" w:rsidR="00900A0E" w:rsidRPr="00D20CA8" w:rsidRDefault="00900A0E" w:rsidP="005C0E20">
      <w:pPr>
        <w:jc w:val="lowKashida"/>
        <w:rPr>
          <w:rFonts w:asciiTheme="majorBidi" w:hAnsiTheme="majorBidi" w:cstheme="majorBidi"/>
          <w:sz w:val="24"/>
          <w:szCs w:val="24"/>
        </w:rPr>
      </w:pPr>
    </w:p>
    <w:p w14:paraId="03FE31BC" w14:textId="002B6720" w:rsidR="00900A0E" w:rsidRPr="00382510" w:rsidRDefault="00900A0E" w:rsidP="005C0E20">
      <w:pPr>
        <w:pStyle w:val="ListParagraph"/>
        <w:numPr>
          <w:ilvl w:val="0"/>
          <w:numId w:val="1"/>
        </w:numPr>
        <w:jc w:val="lowKashida"/>
        <w:rPr>
          <w:rFonts w:asciiTheme="majorBidi" w:hAnsiTheme="majorBidi" w:cstheme="majorBidi"/>
          <w:b/>
          <w:bCs/>
          <w:sz w:val="32"/>
          <w:szCs w:val="32"/>
        </w:rPr>
      </w:pPr>
      <w:r w:rsidRPr="00382510">
        <w:rPr>
          <w:rFonts w:asciiTheme="majorBidi" w:hAnsiTheme="majorBidi" w:cstheme="majorBidi"/>
          <w:b/>
          <w:bCs/>
          <w:sz w:val="32"/>
          <w:szCs w:val="32"/>
        </w:rPr>
        <w:t>Results and discussion</w:t>
      </w:r>
    </w:p>
    <w:p w14:paraId="49C6A1FC" w14:textId="6517DCD0"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The study utilized a logistic model to </w:t>
      </w:r>
      <w:r w:rsidR="00F436A1">
        <w:rPr>
          <w:rFonts w:asciiTheme="majorBidi" w:hAnsiTheme="majorBidi" w:cstheme="majorBidi"/>
          <w:sz w:val="24"/>
          <w:szCs w:val="24"/>
        </w:rPr>
        <w:t>quantitatively analyze the impact of awareness and education on CE participation</w:t>
      </w:r>
      <w:r w:rsidRPr="00D20CA8">
        <w:rPr>
          <w:rFonts w:asciiTheme="majorBidi" w:hAnsiTheme="majorBidi" w:cstheme="majorBidi"/>
          <w:sz w:val="24"/>
          <w:szCs w:val="24"/>
        </w:rPr>
        <w:t>. Descriptive statistics were employed to offer insights into consumers' perspectives based on the collected data. The results are divided into two sections: Section 4.1 presents the regression outcomes, while Section 4.2 provides a descriptive overview of respondents' perspectives on CE.</w:t>
      </w:r>
    </w:p>
    <w:p w14:paraId="2E7ED215" w14:textId="366192EE" w:rsidR="00900A0E" w:rsidRPr="00D20CA8" w:rsidRDefault="00F3717D" w:rsidP="005C0E20">
      <w:pPr>
        <w:jc w:val="lowKashida"/>
        <w:rPr>
          <w:rFonts w:asciiTheme="majorBidi" w:hAnsiTheme="majorBidi" w:cstheme="majorBidi"/>
          <w:sz w:val="24"/>
          <w:szCs w:val="24"/>
        </w:rPr>
      </w:pPr>
      <w:r w:rsidRPr="00D20CA8">
        <w:rPr>
          <w:rFonts w:asciiTheme="majorBidi" w:hAnsiTheme="majorBidi" w:cstheme="majorBidi"/>
          <w:sz w:val="24"/>
          <w:szCs w:val="24"/>
        </w:rPr>
        <w:t>4.1</w:t>
      </w:r>
      <w:r w:rsidRPr="00D20CA8">
        <w:rPr>
          <w:rFonts w:asciiTheme="majorBidi" w:hAnsiTheme="majorBidi" w:cstheme="majorBidi"/>
          <w:sz w:val="24"/>
          <w:szCs w:val="24"/>
        </w:rPr>
        <w:tab/>
      </w:r>
      <w:r w:rsidR="00900A0E" w:rsidRPr="00D20CA8">
        <w:rPr>
          <w:rFonts w:asciiTheme="majorBidi" w:hAnsiTheme="majorBidi" w:cstheme="majorBidi"/>
          <w:sz w:val="24"/>
          <w:szCs w:val="24"/>
        </w:rPr>
        <w:t xml:space="preserve">Demographic Characteristics  </w:t>
      </w:r>
    </w:p>
    <w:p w14:paraId="524E2E45" w14:textId="04617D04"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The study includes a diverse sample of respondents from various nationalities, ensuring equal representation of both Qatari and non-Qatari individuals. Half of the participants are Qatari, while the other half comprises 29 nationalities (Table 1). </w:t>
      </w:r>
      <w:proofErr w:type="gramStart"/>
      <w:r w:rsidRPr="00D20CA8">
        <w:rPr>
          <w:rFonts w:asciiTheme="majorBidi" w:hAnsiTheme="majorBidi" w:cstheme="majorBidi"/>
          <w:sz w:val="24"/>
          <w:szCs w:val="24"/>
        </w:rPr>
        <w:t>Expatriates</w:t>
      </w:r>
      <w:proofErr w:type="gramEnd"/>
      <w:r w:rsidRPr="00D20CA8">
        <w:rPr>
          <w:rFonts w:asciiTheme="majorBidi" w:hAnsiTheme="majorBidi" w:cstheme="majorBidi"/>
          <w:sz w:val="24"/>
          <w:szCs w:val="24"/>
        </w:rPr>
        <w:t xml:space="preserve"> respondents represent 29 nationalities, with the highest percentage from Egypt (9.20), Pakistan (8.21), and India (5.22), enabling an exploration of cultural values and social norms' influence on consumer engagement in the </w:t>
      </w:r>
      <w:r w:rsidR="00EC5CA4">
        <w:rPr>
          <w:rFonts w:asciiTheme="majorBidi" w:hAnsiTheme="majorBidi" w:cstheme="majorBidi"/>
          <w:sz w:val="24"/>
          <w:szCs w:val="24"/>
        </w:rPr>
        <w:t>C</w:t>
      </w:r>
      <w:r w:rsidRPr="00D20CA8">
        <w:rPr>
          <w:rFonts w:asciiTheme="majorBidi" w:hAnsiTheme="majorBidi" w:cstheme="majorBidi"/>
          <w:sz w:val="24"/>
          <w:szCs w:val="24"/>
        </w:rPr>
        <w:t>E.</w:t>
      </w:r>
    </w:p>
    <w:p w14:paraId="1C51E137" w14:textId="7777777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Table 1: Nationalities of Survey participants</w:t>
      </w:r>
    </w:p>
    <w:tbl>
      <w:tblPr>
        <w:tblStyle w:val="PlainTable4"/>
        <w:tblW w:w="84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1350"/>
        <w:gridCol w:w="1710"/>
        <w:gridCol w:w="1363"/>
        <w:gridCol w:w="1440"/>
        <w:gridCol w:w="1375"/>
      </w:tblGrid>
      <w:tr w:rsidR="00D20CA8" w:rsidRPr="00D20CA8" w14:paraId="57913842" w14:textId="77777777" w:rsidTr="00405C79">
        <w:trPr>
          <w:cnfStyle w:val="100000000000" w:firstRow="1" w:lastRow="0" w:firstColumn="0" w:lastColumn="0" w:oddVBand="0" w:evenVBand="0" w:oddHBand="0"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306" w:type="dxa"/>
            <w:noWrap/>
            <w:hideMark/>
          </w:tcPr>
          <w:p w14:paraId="106C5ACE" w14:textId="466BAEEE" w:rsidR="00405C79" w:rsidRPr="00D20CA8" w:rsidRDefault="00900A0E" w:rsidP="005C0E20">
            <w:pPr>
              <w:jc w:val="lowKashida"/>
              <w:rPr>
                <w:rFonts w:asciiTheme="majorBidi" w:eastAsia="Times New Roman" w:hAnsiTheme="majorBidi" w:cstheme="majorBidi"/>
                <w:b w:val="0"/>
                <w:bCs w:val="0"/>
                <w:kern w:val="0"/>
                <w:sz w:val="24"/>
                <w:szCs w:val="24"/>
                <w14:ligatures w14:val="none"/>
              </w:rPr>
            </w:pPr>
            <w:r w:rsidRPr="00D20CA8">
              <w:rPr>
                <w:rFonts w:asciiTheme="majorBidi" w:hAnsiTheme="majorBidi" w:cstheme="majorBidi"/>
                <w:sz w:val="24"/>
                <w:szCs w:val="24"/>
              </w:rPr>
              <w:tab/>
            </w:r>
            <w:r w:rsidR="00405C79" w:rsidRPr="00D20CA8">
              <w:rPr>
                <w:rFonts w:asciiTheme="majorBidi" w:eastAsia="Times New Roman" w:hAnsiTheme="majorBidi" w:cstheme="majorBidi"/>
                <w:kern w:val="0"/>
                <w:sz w:val="24"/>
                <w:szCs w:val="24"/>
                <w14:ligatures w14:val="none"/>
              </w:rPr>
              <w:t>Nationality</w:t>
            </w:r>
          </w:p>
        </w:tc>
        <w:tc>
          <w:tcPr>
            <w:tcW w:w="1350" w:type="dxa"/>
            <w:noWrap/>
            <w:hideMark/>
          </w:tcPr>
          <w:p w14:paraId="27E44596" w14:textId="77777777" w:rsidR="00405C79" w:rsidRPr="00D20CA8" w:rsidRDefault="00405C79" w:rsidP="005C0E20">
            <w:pPr>
              <w:jc w:val="lowKashida"/>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kern w:val="0"/>
                <w:sz w:val="24"/>
                <w:szCs w:val="24"/>
                <w14:ligatures w14:val="none"/>
              </w:rPr>
            </w:pPr>
            <w:r w:rsidRPr="00D20CA8">
              <w:rPr>
                <w:rFonts w:asciiTheme="majorBidi" w:eastAsia="Times New Roman" w:hAnsiTheme="majorBidi" w:cstheme="majorBidi"/>
                <w:kern w:val="0"/>
                <w:sz w:val="24"/>
                <w:szCs w:val="24"/>
                <w14:ligatures w14:val="none"/>
              </w:rPr>
              <w:t xml:space="preserve">Frequency </w:t>
            </w:r>
          </w:p>
        </w:tc>
        <w:tc>
          <w:tcPr>
            <w:tcW w:w="1710" w:type="dxa"/>
            <w:noWrap/>
            <w:hideMark/>
          </w:tcPr>
          <w:p w14:paraId="7B4E6088" w14:textId="77777777" w:rsidR="00405C79" w:rsidRPr="00D20CA8" w:rsidRDefault="00405C79" w:rsidP="005C0E20">
            <w:pPr>
              <w:jc w:val="lowKashida"/>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kern w:val="0"/>
                <w:sz w:val="24"/>
                <w:szCs w:val="24"/>
                <w14:ligatures w14:val="none"/>
              </w:rPr>
            </w:pPr>
            <w:r w:rsidRPr="00D20CA8">
              <w:rPr>
                <w:rFonts w:asciiTheme="majorBidi" w:eastAsia="Times New Roman" w:hAnsiTheme="majorBidi" w:cstheme="majorBidi"/>
                <w:kern w:val="0"/>
                <w:sz w:val="24"/>
                <w:szCs w:val="24"/>
                <w14:ligatures w14:val="none"/>
              </w:rPr>
              <w:t xml:space="preserve">Percentage </w:t>
            </w:r>
          </w:p>
        </w:tc>
        <w:tc>
          <w:tcPr>
            <w:tcW w:w="1260" w:type="dxa"/>
            <w:noWrap/>
            <w:hideMark/>
          </w:tcPr>
          <w:p w14:paraId="08DA47D5" w14:textId="77777777" w:rsidR="00405C79" w:rsidRPr="00D20CA8" w:rsidRDefault="00405C79" w:rsidP="005C0E20">
            <w:pPr>
              <w:jc w:val="lowKashida"/>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kern w:val="0"/>
                <w:sz w:val="24"/>
                <w:szCs w:val="24"/>
                <w14:ligatures w14:val="none"/>
              </w:rPr>
            </w:pPr>
            <w:r w:rsidRPr="00D20CA8">
              <w:rPr>
                <w:rFonts w:asciiTheme="majorBidi" w:eastAsia="Times New Roman" w:hAnsiTheme="majorBidi" w:cstheme="majorBidi"/>
                <w:kern w:val="0"/>
                <w:sz w:val="24"/>
                <w:szCs w:val="24"/>
                <w14:ligatures w14:val="none"/>
              </w:rPr>
              <w:t>Nationality</w:t>
            </w:r>
          </w:p>
        </w:tc>
        <w:tc>
          <w:tcPr>
            <w:tcW w:w="1440" w:type="dxa"/>
            <w:noWrap/>
            <w:hideMark/>
          </w:tcPr>
          <w:p w14:paraId="390264C3" w14:textId="77777777" w:rsidR="00405C79" w:rsidRPr="00D20CA8" w:rsidRDefault="00405C79" w:rsidP="005C0E20">
            <w:pPr>
              <w:jc w:val="lowKashida"/>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kern w:val="0"/>
                <w:sz w:val="24"/>
                <w:szCs w:val="24"/>
                <w14:ligatures w14:val="none"/>
              </w:rPr>
            </w:pPr>
            <w:r w:rsidRPr="00D20CA8">
              <w:rPr>
                <w:rFonts w:asciiTheme="majorBidi" w:eastAsia="Times New Roman" w:hAnsiTheme="majorBidi" w:cstheme="majorBidi"/>
                <w:kern w:val="0"/>
                <w:sz w:val="24"/>
                <w:szCs w:val="24"/>
                <w14:ligatures w14:val="none"/>
              </w:rPr>
              <w:t xml:space="preserve">Frequency </w:t>
            </w:r>
          </w:p>
        </w:tc>
        <w:tc>
          <w:tcPr>
            <w:tcW w:w="1375" w:type="dxa"/>
            <w:noWrap/>
            <w:hideMark/>
          </w:tcPr>
          <w:p w14:paraId="2BE05107" w14:textId="77777777" w:rsidR="00405C79" w:rsidRPr="00D20CA8" w:rsidRDefault="00405C79" w:rsidP="005C0E20">
            <w:pPr>
              <w:jc w:val="lowKashida"/>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kern w:val="0"/>
                <w:sz w:val="24"/>
                <w:szCs w:val="24"/>
                <w14:ligatures w14:val="none"/>
              </w:rPr>
            </w:pPr>
            <w:r w:rsidRPr="00D20CA8">
              <w:rPr>
                <w:rFonts w:asciiTheme="majorBidi" w:eastAsia="Times New Roman" w:hAnsiTheme="majorBidi" w:cstheme="majorBidi"/>
                <w:kern w:val="0"/>
                <w:sz w:val="24"/>
                <w:szCs w:val="24"/>
                <w14:ligatures w14:val="none"/>
              </w:rPr>
              <w:t xml:space="preserve">Percentage </w:t>
            </w:r>
          </w:p>
        </w:tc>
      </w:tr>
      <w:tr w:rsidR="00D20CA8" w:rsidRPr="00D20CA8" w14:paraId="270D93A7" w14:textId="77777777" w:rsidTr="00405C79">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306" w:type="dxa"/>
            <w:noWrap/>
            <w:hideMark/>
          </w:tcPr>
          <w:p w14:paraId="79281716" w14:textId="77777777" w:rsidR="00405C79" w:rsidRPr="00D20CA8" w:rsidRDefault="00405C79" w:rsidP="005C0E20">
            <w:pPr>
              <w:jc w:val="lowKashida"/>
              <w:rPr>
                <w:rFonts w:asciiTheme="majorBidi" w:eastAsia="Times New Roman" w:hAnsiTheme="majorBidi" w:cstheme="majorBidi"/>
                <w:b w:val="0"/>
                <w:bCs w:val="0"/>
                <w:kern w:val="0"/>
                <w:sz w:val="24"/>
                <w:szCs w:val="24"/>
                <w14:ligatures w14:val="none"/>
              </w:rPr>
            </w:pPr>
            <w:r w:rsidRPr="00D20CA8">
              <w:rPr>
                <w:rFonts w:asciiTheme="majorBidi" w:eastAsia="Times New Roman" w:hAnsiTheme="majorBidi" w:cstheme="majorBidi"/>
                <w:kern w:val="0"/>
                <w:sz w:val="24"/>
                <w:szCs w:val="24"/>
                <w14:ligatures w14:val="none"/>
              </w:rPr>
              <w:t>Qatar</w:t>
            </w:r>
          </w:p>
        </w:tc>
        <w:tc>
          <w:tcPr>
            <w:tcW w:w="1350" w:type="dxa"/>
            <w:noWrap/>
            <w:hideMark/>
          </w:tcPr>
          <w:p w14:paraId="120AA267"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202</w:t>
            </w:r>
          </w:p>
        </w:tc>
        <w:tc>
          <w:tcPr>
            <w:tcW w:w="1710" w:type="dxa"/>
            <w:noWrap/>
            <w:hideMark/>
          </w:tcPr>
          <w:p w14:paraId="3D050330"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50.25</w:t>
            </w:r>
          </w:p>
        </w:tc>
        <w:tc>
          <w:tcPr>
            <w:tcW w:w="1260" w:type="dxa"/>
            <w:noWrap/>
            <w:hideMark/>
          </w:tcPr>
          <w:p w14:paraId="04582401"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 xml:space="preserve">Syria </w:t>
            </w:r>
          </w:p>
        </w:tc>
        <w:tc>
          <w:tcPr>
            <w:tcW w:w="1440" w:type="dxa"/>
            <w:noWrap/>
            <w:hideMark/>
          </w:tcPr>
          <w:p w14:paraId="4469EC7E"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3</w:t>
            </w:r>
          </w:p>
        </w:tc>
        <w:tc>
          <w:tcPr>
            <w:tcW w:w="1375" w:type="dxa"/>
            <w:noWrap/>
            <w:hideMark/>
          </w:tcPr>
          <w:p w14:paraId="2EA2651B"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0.75</w:t>
            </w:r>
          </w:p>
        </w:tc>
      </w:tr>
      <w:tr w:rsidR="00D20CA8" w:rsidRPr="00D20CA8" w14:paraId="6E17BE19" w14:textId="77777777" w:rsidTr="00405C79">
        <w:trPr>
          <w:trHeight w:val="247"/>
          <w:jc w:val="center"/>
        </w:trPr>
        <w:tc>
          <w:tcPr>
            <w:cnfStyle w:val="001000000000" w:firstRow="0" w:lastRow="0" w:firstColumn="1" w:lastColumn="0" w:oddVBand="0" w:evenVBand="0" w:oddHBand="0" w:evenHBand="0" w:firstRowFirstColumn="0" w:firstRowLastColumn="0" w:lastRowFirstColumn="0" w:lastRowLastColumn="0"/>
            <w:tcW w:w="1306" w:type="dxa"/>
            <w:noWrap/>
            <w:hideMark/>
          </w:tcPr>
          <w:p w14:paraId="4EE63526" w14:textId="77777777" w:rsidR="00405C79" w:rsidRPr="00D20CA8" w:rsidRDefault="00405C79" w:rsidP="005C0E20">
            <w:pPr>
              <w:jc w:val="lowKashida"/>
              <w:rPr>
                <w:rFonts w:asciiTheme="majorBidi" w:eastAsia="Times New Roman" w:hAnsiTheme="majorBidi" w:cstheme="majorBidi"/>
                <w:b w:val="0"/>
                <w:bCs w:val="0"/>
                <w:kern w:val="0"/>
                <w:sz w:val="24"/>
                <w:szCs w:val="24"/>
                <w14:ligatures w14:val="none"/>
              </w:rPr>
            </w:pPr>
            <w:r w:rsidRPr="00D20CA8">
              <w:rPr>
                <w:rFonts w:asciiTheme="majorBidi" w:eastAsia="Times New Roman" w:hAnsiTheme="majorBidi" w:cstheme="majorBidi"/>
                <w:kern w:val="0"/>
                <w:sz w:val="24"/>
                <w:szCs w:val="24"/>
                <w14:ligatures w14:val="none"/>
              </w:rPr>
              <w:t>Egypt</w:t>
            </w:r>
          </w:p>
        </w:tc>
        <w:tc>
          <w:tcPr>
            <w:tcW w:w="1350" w:type="dxa"/>
            <w:noWrap/>
            <w:hideMark/>
          </w:tcPr>
          <w:p w14:paraId="7091D795"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37</w:t>
            </w:r>
          </w:p>
        </w:tc>
        <w:tc>
          <w:tcPr>
            <w:tcW w:w="1710" w:type="dxa"/>
            <w:noWrap/>
            <w:hideMark/>
          </w:tcPr>
          <w:p w14:paraId="260854BC"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9.20</w:t>
            </w:r>
          </w:p>
        </w:tc>
        <w:tc>
          <w:tcPr>
            <w:tcW w:w="1260" w:type="dxa"/>
            <w:noWrap/>
            <w:hideMark/>
          </w:tcPr>
          <w:p w14:paraId="28A76F77"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Turkey</w:t>
            </w:r>
          </w:p>
        </w:tc>
        <w:tc>
          <w:tcPr>
            <w:tcW w:w="1440" w:type="dxa"/>
            <w:noWrap/>
            <w:hideMark/>
          </w:tcPr>
          <w:p w14:paraId="3A6BE06D"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3</w:t>
            </w:r>
          </w:p>
        </w:tc>
        <w:tc>
          <w:tcPr>
            <w:tcW w:w="1375" w:type="dxa"/>
            <w:noWrap/>
            <w:hideMark/>
          </w:tcPr>
          <w:p w14:paraId="578D9847"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0.75</w:t>
            </w:r>
          </w:p>
        </w:tc>
      </w:tr>
      <w:tr w:rsidR="00D20CA8" w:rsidRPr="00D20CA8" w14:paraId="6040A8E9" w14:textId="77777777" w:rsidTr="00405C79">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306" w:type="dxa"/>
            <w:noWrap/>
            <w:hideMark/>
          </w:tcPr>
          <w:p w14:paraId="1FE4AAE9" w14:textId="77777777" w:rsidR="00405C79" w:rsidRPr="00D20CA8" w:rsidRDefault="00405C79" w:rsidP="005C0E20">
            <w:pPr>
              <w:jc w:val="lowKashida"/>
              <w:rPr>
                <w:rFonts w:asciiTheme="majorBidi" w:eastAsia="Times New Roman" w:hAnsiTheme="majorBidi" w:cstheme="majorBidi"/>
                <w:b w:val="0"/>
                <w:bCs w:val="0"/>
                <w:kern w:val="0"/>
                <w:sz w:val="24"/>
                <w:szCs w:val="24"/>
                <w14:ligatures w14:val="none"/>
              </w:rPr>
            </w:pPr>
            <w:r w:rsidRPr="00D20CA8">
              <w:rPr>
                <w:rFonts w:asciiTheme="majorBidi" w:eastAsia="Times New Roman" w:hAnsiTheme="majorBidi" w:cstheme="majorBidi"/>
                <w:kern w:val="0"/>
                <w:sz w:val="24"/>
                <w:szCs w:val="24"/>
                <w14:ligatures w14:val="none"/>
              </w:rPr>
              <w:t xml:space="preserve">Pakistan </w:t>
            </w:r>
          </w:p>
        </w:tc>
        <w:tc>
          <w:tcPr>
            <w:tcW w:w="1350" w:type="dxa"/>
            <w:noWrap/>
            <w:hideMark/>
          </w:tcPr>
          <w:p w14:paraId="227D80CB"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33</w:t>
            </w:r>
          </w:p>
        </w:tc>
        <w:tc>
          <w:tcPr>
            <w:tcW w:w="1710" w:type="dxa"/>
            <w:noWrap/>
            <w:hideMark/>
          </w:tcPr>
          <w:p w14:paraId="43C29E8C"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8.21</w:t>
            </w:r>
          </w:p>
        </w:tc>
        <w:tc>
          <w:tcPr>
            <w:tcW w:w="1260" w:type="dxa"/>
            <w:noWrap/>
            <w:hideMark/>
          </w:tcPr>
          <w:p w14:paraId="1C49408C"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Canada</w:t>
            </w:r>
          </w:p>
        </w:tc>
        <w:tc>
          <w:tcPr>
            <w:tcW w:w="1440" w:type="dxa"/>
            <w:noWrap/>
            <w:hideMark/>
          </w:tcPr>
          <w:p w14:paraId="413DEC9D"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2</w:t>
            </w:r>
          </w:p>
        </w:tc>
        <w:tc>
          <w:tcPr>
            <w:tcW w:w="1375" w:type="dxa"/>
            <w:noWrap/>
            <w:hideMark/>
          </w:tcPr>
          <w:p w14:paraId="7FAB0DE3"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0.50</w:t>
            </w:r>
          </w:p>
        </w:tc>
      </w:tr>
      <w:tr w:rsidR="00D20CA8" w:rsidRPr="00D20CA8" w14:paraId="307AE60B" w14:textId="77777777" w:rsidTr="00405C79">
        <w:trPr>
          <w:trHeight w:val="247"/>
          <w:jc w:val="center"/>
        </w:trPr>
        <w:tc>
          <w:tcPr>
            <w:cnfStyle w:val="001000000000" w:firstRow="0" w:lastRow="0" w:firstColumn="1" w:lastColumn="0" w:oddVBand="0" w:evenVBand="0" w:oddHBand="0" w:evenHBand="0" w:firstRowFirstColumn="0" w:firstRowLastColumn="0" w:lastRowFirstColumn="0" w:lastRowLastColumn="0"/>
            <w:tcW w:w="1306" w:type="dxa"/>
            <w:noWrap/>
            <w:hideMark/>
          </w:tcPr>
          <w:p w14:paraId="2B9CDEC5" w14:textId="77777777" w:rsidR="00405C79" w:rsidRPr="00D20CA8" w:rsidRDefault="00405C79" w:rsidP="005C0E20">
            <w:pPr>
              <w:jc w:val="lowKashida"/>
              <w:rPr>
                <w:rFonts w:asciiTheme="majorBidi" w:eastAsia="Times New Roman" w:hAnsiTheme="majorBidi" w:cstheme="majorBidi"/>
                <w:b w:val="0"/>
                <w:bCs w:val="0"/>
                <w:kern w:val="0"/>
                <w:sz w:val="24"/>
                <w:szCs w:val="24"/>
                <w14:ligatures w14:val="none"/>
              </w:rPr>
            </w:pPr>
            <w:r w:rsidRPr="00D20CA8">
              <w:rPr>
                <w:rFonts w:asciiTheme="majorBidi" w:eastAsia="Times New Roman" w:hAnsiTheme="majorBidi" w:cstheme="majorBidi"/>
                <w:kern w:val="0"/>
                <w:sz w:val="24"/>
                <w:szCs w:val="24"/>
                <w14:ligatures w14:val="none"/>
              </w:rPr>
              <w:t>India</w:t>
            </w:r>
          </w:p>
        </w:tc>
        <w:tc>
          <w:tcPr>
            <w:tcW w:w="1350" w:type="dxa"/>
            <w:noWrap/>
            <w:hideMark/>
          </w:tcPr>
          <w:p w14:paraId="3C1AE32A"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21</w:t>
            </w:r>
          </w:p>
        </w:tc>
        <w:tc>
          <w:tcPr>
            <w:tcW w:w="1710" w:type="dxa"/>
            <w:noWrap/>
            <w:hideMark/>
          </w:tcPr>
          <w:p w14:paraId="6E89938D"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5.22</w:t>
            </w:r>
          </w:p>
        </w:tc>
        <w:tc>
          <w:tcPr>
            <w:tcW w:w="1260" w:type="dxa"/>
            <w:noWrap/>
            <w:hideMark/>
          </w:tcPr>
          <w:p w14:paraId="2EEE8B80"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Malaysia</w:t>
            </w:r>
          </w:p>
        </w:tc>
        <w:tc>
          <w:tcPr>
            <w:tcW w:w="1440" w:type="dxa"/>
            <w:noWrap/>
            <w:hideMark/>
          </w:tcPr>
          <w:p w14:paraId="106A69F8"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2</w:t>
            </w:r>
          </w:p>
        </w:tc>
        <w:tc>
          <w:tcPr>
            <w:tcW w:w="1375" w:type="dxa"/>
            <w:noWrap/>
            <w:hideMark/>
          </w:tcPr>
          <w:p w14:paraId="5D7018F9"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0.50</w:t>
            </w:r>
          </w:p>
        </w:tc>
      </w:tr>
      <w:tr w:rsidR="00D20CA8" w:rsidRPr="00D20CA8" w14:paraId="48495E28" w14:textId="77777777" w:rsidTr="00405C79">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306" w:type="dxa"/>
            <w:noWrap/>
            <w:hideMark/>
          </w:tcPr>
          <w:p w14:paraId="75D808D0" w14:textId="77777777" w:rsidR="00405C79" w:rsidRPr="00D20CA8" w:rsidRDefault="00405C79" w:rsidP="005C0E20">
            <w:pPr>
              <w:jc w:val="lowKashida"/>
              <w:rPr>
                <w:rFonts w:asciiTheme="majorBidi" w:eastAsia="Times New Roman" w:hAnsiTheme="majorBidi" w:cstheme="majorBidi"/>
                <w:b w:val="0"/>
                <w:bCs w:val="0"/>
                <w:kern w:val="0"/>
                <w:sz w:val="24"/>
                <w:szCs w:val="24"/>
                <w14:ligatures w14:val="none"/>
              </w:rPr>
            </w:pPr>
            <w:r w:rsidRPr="00D20CA8">
              <w:rPr>
                <w:rFonts w:asciiTheme="majorBidi" w:eastAsia="Times New Roman" w:hAnsiTheme="majorBidi" w:cstheme="majorBidi"/>
                <w:kern w:val="0"/>
                <w:sz w:val="24"/>
                <w:szCs w:val="24"/>
                <w14:ligatures w14:val="none"/>
              </w:rPr>
              <w:t xml:space="preserve">Jordan </w:t>
            </w:r>
          </w:p>
        </w:tc>
        <w:tc>
          <w:tcPr>
            <w:tcW w:w="1350" w:type="dxa"/>
            <w:noWrap/>
            <w:hideMark/>
          </w:tcPr>
          <w:p w14:paraId="7BD70513"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17</w:t>
            </w:r>
          </w:p>
        </w:tc>
        <w:tc>
          <w:tcPr>
            <w:tcW w:w="1710" w:type="dxa"/>
            <w:noWrap/>
            <w:hideMark/>
          </w:tcPr>
          <w:p w14:paraId="02EAB14D"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4.23</w:t>
            </w:r>
          </w:p>
        </w:tc>
        <w:tc>
          <w:tcPr>
            <w:tcW w:w="1260" w:type="dxa"/>
            <w:noWrap/>
            <w:hideMark/>
          </w:tcPr>
          <w:p w14:paraId="00A09325"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Iran</w:t>
            </w:r>
          </w:p>
        </w:tc>
        <w:tc>
          <w:tcPr>
            <w:tcW w:w="1440" w:type="dxa"/>
            <w:noWrap/>
            <w:hideMark/>
          </w:tcPr>
          <w:p w14:paraId="2B39A074"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2</w:t>
            </w:r>
          </w:p>
        </w:tc>
        <w:tc>
          <w:tcPr>
            <w:tcW w:w="1375" w:type="dxa"/>
            <w:noWrap/>
            <w:hideMark/>
          </w:tcPr>
          <w:p w14:paraId="5CCD3A7B"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0.50</w:t>
            </w:r>
          </w:p>
        </w:tc>
      </w:tr>
      <w:tr w:rsidR="00D20CA8" w:rsidRPr="00D20CA8" w14:paraId="5ED1D717" w14:textId="77777777" w:rsidTr="00405C79">
        <w:trPr>
          <w:trHeight w:val="247"/>
          <w:jc w:val="center"/>
        </w:trPr>
        <w:tc>
          <w:tcPr>
            <w:cnfStyle w:val="001000000000" w:firstRow="0" w:lastRow="0" w:firstColumn="1" w:lastColumn="0" w:oddVBand="0" w:evenVBand="0" w:oddHBand="0" w:evenHBand="0" w:firstRowFirstColumn="0" w:firstRowLastColumn="0" w:lastRowFirstColumn="0" w:lastRowLastColumn="0"/>
            <w:tcW w:w="1306" w:type="dxa"/>
            <w:noWrap/>
            <w:hideMark/>
          </w:tcPr>
          <w:p w14:paraId="41AE020B" w14:textId="77777777" w:rsidR="00405C79" w:rsidRPr="00D20CA8" w:rsidRDefault="00405C79" w:rsidP="005C0E20">
            <w:pPr>
              <w:jc w:val="lowKashida"/>
              <w:rPr>
                <w:rFonts w:asciiTheme="majorBidi" w:eastAsia="Times New Roman" w:hAnsiTheme="majorBidi" w:cstheme="majorBidi"/>
                <w:b w:val="0"/>
                <w:bCs w:val="0"/>
                <w:kern w:val="0"/>
                <w:sz w:val="24"/>
                <w:szCs w:val="24"/>
                <w14:ligatures w14:val="none"/>
              </w:rPr>
            </w:pPr>
            <w:r w:rsidRPr="00D20CA8">
              <w:rPr>
                <w:rFonts w:asciiTheme="majorBidi" w:eastAsia="Times New Roman" w:hAnsiTheme="majorBidi" w:cstheme="majorBidi"/>
                <w:kern w:val="0"/>
                <w:sz w:val="24"/>
                <w:szCs w:val="24"/>
                <w14:ligatures w14:val="none"/>
              </w:rPr>
              <w:t xml:space="preserve">Palestine </w:t>
            </w:r>
          </w:p>
        </w:tc>
        <w:tc>
          <w:tcPr>
            <w:tcW w:w="1350" w:type="dxa"/>
            <w:noWrap/>
            <w:hideMark/>
          </w:tcPr>
          <w:p w14:paraId="4B912DD9"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14</w:t>
            </w:r>
          </w:p>
        </w:tc>
        <w:tc>
          <w:tcPr>
            <w:tcW w:w="1710" w:type="dxa"/>
            <w:noWrap/>
            <w:hideMark/>
          </w:tcPr>
          <w:p w14:paraId="1B98AD1C"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3.48</w:t>
            </w:r>
          </w:p>
        </w:tc>
        <w:tc>
          <w:tcPr>
            <w:tcW w:w="1260" w:type="dxa"/>
            <w:noWrap/>
            <w:hideMark/>
          </w:tcPr>
          <w:p w14:paraId="4B35C564"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Sri Lanka</w:t>
            </w:r>
          </w:p>
        </w:tc>
        <w:tc>
          <w:tcPr>
            <w:tcW w:w="1440" w:type="dxa"/>
            <w:noWrap/>
            <w:hideMark/>
          </w:tcPr>
          <w:p w14:paraId="68E26C56"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2</w:t>
            </w:r>
          </w:p>
        </w:tc>
        <w:tc>
          <w:tcPr>
            <w:tcW w:w="1375" w:type="dxa"/>
            <w:noWrap/>
            <w:hideMark/>
          </w:tcPr>
          <w:p w14:paraId="5163055E"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0.50</w:t>
            </w:r>
          </w:p>
        </w:tc>
      </w:tr>
      <w:tr w:rsidR="00D20CA8" w:rsidRPr="00D20CA8" w14:paraId="5E435979" w14:textId="77777777" w:rsidTr="00405C79">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306" w:type="dxa"/>
            <w:noWrap/>
            <w:hideMark/>
          </w:tcPr>
          <w:p w14:paraId="3335756F" w14:textId="77777777" w:rsidR="00405C79" w:rsidRPr="00D20CA8" w:rsidRDefault="00405C79" w:rsidP="005C0E20">
            <w:pPr>
              <w:jc w:val="lowKashida"/>
              <w:rPr>
                <w:rFonts w:asciiTheme="majorBidi" w:eastAsia="Times New Roman" w:hAnsiTheme="majorBidi" w:cstheme="majorBidi"/>
                <w:b w:val="0"/>
                <w:bCs w:val="0"/>
                <w:kern w:val="0"/>
                <w:sz w:val="24"/>
                <w:szCs w:val="24"/>
                <w14:ligatures w14:val="none"/>
              </w:rPr>
            </w:pPr>
            <w:r w:rsidRPr="00D20CA8">
              <w:rPr>
                <w:rFonts w:asciiTheme="majorBidi" w:eastAsia="Times New Roman" w:hAnsiTheme="majorBidi" w:cstheme="majorBidi"/>
                <w:kern w:val="0"/>
                <w:sz w:val="24"/>
                <w:szCs w:val="24"/>
                <w14:ligatures w14:val="none"/>
              </w:rPr>
              <w:t>USA</w:t>
            </w:r>
          </w:p>
        </w:tc>
        <w:tc>
          <w:tcPr>
            <w:tcW w:w="1350" w:type="dxa"/>
            <w:noWrap/>
            <w:hideMark/>
          </w:tcPr>
          <w:p w14:paraId="24E6E244"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14</w:t>
            </w:r>
          </w:p>
        </w:tc>
        <w:tc>
          <w:tcPr>
            <w:tcW w:w="1710" w:type="dxa"/>
            <w:noWrap/>
            <w:hideMark/>
          </w:tcPr>
          <w:p w14:paraId="4883145C"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3.48</w:t>
            </w:r>
          </w:p>
        </w:tc>
        <w:tc>
          <w:tcPr>
            <w:tcW w:w="1260" w:type="dxa"/>
            <w:noWrap/>
            <w:hideMark/>
          </w:tcPr>
          <w:p w14:paraId="67B0D61A"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UAE</w:t>
            </w:r>
          </w:p>
        </w:tc>
        <w:tc>
          <w:tcPr>
            <w:tcW w:w="1440" w:type="dxa"/>
            <w:noWrap/>
            <w:hideMark/>
          </w:tcPr>
          <w:p w14:paraId="061284A2"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2</w:t>
            </w:r>
          </w:p>
        </w:tc>
        <w:tc>
          <w:tcPr>
            <w:tcW w:w="1375" w:type="dxa"/>
            <w:noWrap/>
            <w:hideMark/>
          </w:tcPr>
          <w:p w14:paraId="0F76DE85"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0.50</w:t>
            </w:r>
          </w:p>
        </w:tc>
      </w:tr>
      <w:tr w:rsidR="00D20CA8" w:rsidRPr="00D20CA8" w14:paraId="61D689CD" w14:textId="77777777" w:rsidTr="00405C79">
        <w:trPr>
          <w:trHeight w:val="247"/>
          <w:jc w:val="center"/>
        </w:trPr>
        <w:tc>
          <w:tcPr>
            <w:cnfStyle w:val="001000000000" w:firstRow="0" w:lastRow="0" w:firstColumn="1" w:lastColumn="0" w:oddVBand="0" w:evenVBand="0" w:oddHBand="0" w:evenHBand="0" w:firstRowFirstColumn="0" w:firstRowLastColumn="0" w:lastRowFirstColumn="0" w:lastRowLastColumn="0"/>
            <w:tcW w:w="1306" w:type="dxa"/>
            <w:noWrap/>
            <w:hideMark/>
          </w:tcPr>
          <w:p w14:paraId="58CC69E5" w14:textId="77777777" w:rsidR="00405C79" w:rsidRPr="00D20CA8" w:rsidRDefault="00405C79" w:rsidP="005C0E20">
            <w:pPr>
              <w:jc w:val="lowKashida"/>
              <w:rPr>
                <w:rFonts w:asciiTheme="majorBidi" w:eastAsia="Times New Roman" w:hAnsiTheme="majorBidi" w:cstheme="majorBidi"/>
                <w:b w:val="0"/>
                <w:bCs w:val="0"/>
                <w:kern w:val="0"/>
                <w:sz w:val="24"/>
                <w:szCs w:val="24"/>
                <w14:ligatures w14:val="none"/>
              </w:rPr>
            </w:pPr>
            <w:r w:rsidRPr="00D20CA8">
              <w:rPr>
                <w:rFonts w:asciiTheme="majorBidi" w:eastAsia="Times New Roman" w:hAnsiTheme="majorBidi" w:cstheme="majorBidi"/>
                <w:kern w:val="0"/>
                <w:sz w:val="24"/>
                <w:szCs w:val="24"/>
                <w14:ligatures w14:val="none"/>
              </w:rPr>
              <w:t xml:space="preserve">Nigeria </w:t>
            </w:r>
          </w:p>
        </w:tc>
        <w:tc>
          <w:tcPr>
            <w:tcW w:w="1350" w:type="dxa"/>
            <w:noWrap/>
            <w:hideMark/>
          </w:tcPr>
          <w:p w14:paraId="35076875"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13</w:t>
            </w:r>
          </w:p>
        </w:tc>
        <w:tc>
          <w:tcPr>
            <w:tcW w:w="1710" w:type="dxa"/>
            <w:noWrap/>
            <w:hideMark/>
          </w:tcPr>
          <w:p w14:paraId="783F2A6A"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3.23</w:t>
            </w:r>
          </w:p>
        </w:tc>
        <w:tc>
          <w:tcPr>
            <w:tcW w:w="1260" w:type="dxa"/>
            <w:noWrap/>
            <w:hideMark/>
          </w:tcPr>
          <w:p w14:paraId="2A4B2383"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Azerbaijan</w:t>
            </w:r>
          </w:p>
        </w:tc>
        <w:tc>
          <w:tcPr>
            <w:tcW w:w="1440" w:type="dxa"/>
            <w:noWrap/>
            <w:hideMark/>
          </w:tcPr>
          <w:p w14:paraId="1F9E2DEF"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1</w:t>
            </w:r>
          </w:p>
        </w:tc>
        <w:tc>
          <w:tcPr>
            <w:tcW w:w="1375" w:type="dxa"/>
            <w:noWrap/>
            <w:hideMark/>
          </w:tcPr>
          <w:p w14:paraId="1254FF65"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0.25</w:t>
            </w:r>
          </w:p>
        </w:tc>
      </w:tr>
      <w:tr w:rsidR="00D20CA8" w:rsidRPr="00D20CA8" w14:paraId="26A52F3C" w14:textId="77777777" w:rsidTr="00405C79">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306" w:type="dxa"/>
            <w:noWrap/>
            <w:hideMark/>
          </w:tcPr>
          <w:p w14:paraId="7E715B94" w14:textId="77777777" w:rsidR="00405C79" w:rsidRPr="00D20CA8" w:rsidRDefault="00405C79" w:rsidP="005C0E20">
            <w:pPr>
              <w:jc w:val="lowKashida"/>
              <w:rPr>
                <w:rFonts w:asciiTheme="majorBidi" w:eastAsia="Times New Roman" w:hAnsiTheme="majorBidi" w:cstheme="majorBidi"/>
                <w:b w:val="0"/>
                <w:bCs w:val="0"/>
                <w:kern w:val="0"/>
                <w:sz w:val="24"/>
                <w:szCs w:val="24"/>
                <w14:ligatures w14:val="none"/>
              </w:rPr>
            </w:pPr>
            <w:r w:rsidRPr="00D20CA8">
              <w:rPr>
                <w:rFonts w:asciiTheme="majorBidi" w:eastAsia="Times New Roman" w:hAnsiTheme="majorBidi" w:cstheme="majorBidi"/>
                <w:kern w:val="0"/>
                <w:sz w:val="24"/>
                <w:szCs w:val="24"/>
                <w14:ligatures w14:val="none"/>
              </w:rPr>
              <w:t>EU</w:t>
            </w:r>
          </w:p>
        </w:tc>
        <w:tc>
          <w:tcPr>
            <w:tcW w:w="1350" w:type="dxa"/>
            <w:noWrap/>
            <w:hideMark/>
          </w:tcPr>
          <w:p w14:paraId="5DD3425C"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6</w:t>
            </w:r>
          </w:p>
        </w:tc>
        <w:tc>
          <w:tcPr>
            <w:tcW w:w="1710" w:type="dxa"/>
            <w:noWrap/>
            <w:hideMark/>
          </w:tcPr>
          <w:p w14:paraId="0CA5BE88"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1.49</w:t>
            </w:r>
          </w:p>
        </w:tc>
        <w:tc>
          <w:tcPr>
            <w:tcW w:w="1260" w:type="dxa"/>
            <w:noWrap/>
            <w:hideMark/>
          </w:tcPr>
          <w:p w14:paraId="4D8B2B97"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Bangladesh</w:t>
            </w:r>
          </w:p>
        </w:tc>
        <w:tc>
          <w:tcPr>
            <w:tcW w:w="1440" w:type="dxa"/>
            <w:noWrap/>
            <w:hideMark/>
          </w:tcPr>
          <w:p w14:paraId="6F1424EE"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1</w:t>
            </w:r>
          </w:p>
        </w:tc>
        <w:tc>
          <w:tcPr>
            <w:tcW w:w="1375" w:type="dxa"/>
            <w:noWrap/>
            <w:hideMark/>
          </w:tcPr>
          <w:p w14:paraId="72D9BFEF"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0.25</w:t>
            </w:r>
          </w:p>
        </w:tc>
      </w:tr>
      <w:tr w:rsidR="00D20CA8" w:rsidRPr="00D20CA8" w14:paraId="5A35200E" w14:textId="77777777" w:rsidTr="00405C79">
        <w:trPr>
          <w:trHeight w:val="247"/>
          <w:jc w:val="center"/>
        </w:trPr>
        <w:tc>
          <w:tcPr>
            <w:cnfStyle w:val="001000000000" w:firstRow="0" w:lastRow="0" w:firstColumn="1" w:lastColumn="0" w:oddVBand="0" w:evenVBand="0" w:oddHBand="0" w:evenHBand="0" w:firstRowFirstColumn="0" w:firstRowLastColumn="0" w:lastRowFirstColumn="0" w:lastRowLastColumn="0"/>
            <w:tcW w:w="1306" w:type="dxa"/>
            <w:noWrap/>
            <w:hideMark/>
          </w:tcPr>
          <w:p w14:paraId="2A11CA91" w14:textId="77777777" w:rsidR="00405C79" w:rsidRPr="00D20CA8" w:rsidRDefault="00405C79" w:rsidP="005C0E20">
            <w:pPr>
              <w:jc w:val="lowKashida"/>
              <w:rPr>
                <w:rFonts w:asciiTheme="majorBidi" w:eastAsia="Times New Roman" w:hAnsiTheme="majorBidi" w:cstheme="majorBidi"/>
                <w:b w:val="0"/>
                <w:bCs w:val="0"/>
                <w:kern w:val="0"/>
                <w:sz w:val="24"/>
                <w:szCs w:val="24"/>
                <w14:ligatures w14:val="none"/>
              </w:rPr>
            </w:pPr>
            <w:r w:rsidRPr="00D20CA8">
              <w:rPr>
                <w:rFonts w:asciiTheme="majorBidi" w:eastAsia="Times New Roman" w:hAnsiTheme="majorBidi" w:cstheme="majorBidi"/>
                <w:kern w:val="0"/>
                <w:sz w:val="24"/>
                <w:szCs w:val="24"/>
                <w14:ligatures w14:val="none"/>
              </w:rPr>
              <w:t>Tunisia</w:t>
            </w:r>
          </w:p>
        </w:tc>
        <w:tc>
          <w:tcPr>
            <w:tcW w:w="1350" w:type="dxa"/>
            <w:noWrap/>
            <w:hideMark/>
          </w:tcPr>
          <w:p w14:paraId="0794F83E"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5</w:t>
            </w:r>
          </w:p>
        </w:tc>
        <w:tc>
          <w:tcPr>
            <w:tcW w:w="1710" w:type="dxa"/>
            <w:noWrap/>
            <w:hideMark/>
          </w:tcPr>
          <w:p w14:paraId="790414A6"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1.24</w:t>
            </w:r>
          </w:p>
        </w:tc>
        <w:tc>
          <w:tcPr>
            <w:tcW w:w="1260" w:type="dxa"/>
            <w:noWrap/>
            <w:hideMark/>
          </w:tcPr>
          <w:p w14:paraId="2C991200"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Ghana</w:t>
            </w:r>
          </w:p>
        </w:tc>
        <w:tc>
          <w:tcPr>
            <w:tcW w:w="1440" w:type="dxa"/>
            <w:noWrap/>
            <w:hideMark/>
          </w:tcPr>
          <w:p w14:paraId="075460D8"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1</w:t>
            </w:r>
          </w:p>
        </w:tc>
        <w:tc>
          <w:tcPr>
            <w:tcW w:w="1375" w:type="dxa"/>
            <w:noWrap/>
            <w:hideMark/>
          </w:tcPr>
          <w:p w14:paraId="4B1405F3"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0.25</w:t>
            </w:r>
          </w:p>
        </w:tc>
      </w:tr>
      <w:tr w:rsidR="00D20CA8" w:rsidRPr="00D20CA8" w14:paraId="4DBFC9A4" w14:textId="77777777" w:rsidTr="00405C79">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306" w:type="dxa"/>
            <w:noWrap/>
            <w:hideMark/>
          </w:tcPr>
          <w:p w14:paraId="431B9EB0" w14:textId="77777777" w:rsidR="00405C79" w:rsidRPr="00D20CA8" w:rsidRDefault="00405C79" w:rsidP="005C0E20">
            <w:pPr>
              <w:jc w:val="lowKashida"/>
              <w:rPr>
                <w:rFonts w:asciiTheme="majorBidi" w:eastAsia="Times New Roman" w:hAnsiTheme="majorBidi" w:cstheme="majorBidi"/>
                <w:b w:val="0"/>
                <w:bCs w:val="0"/>
                <w:kern w:val="0"/>
                <w:sz w:val="24"/>
                <w:szCs w:val="24"/>
                <w14:ligatures w14:val="none"/>
              </w:rPr>
            </w:pPr>
            <w:r w:rsidRPr="00D20CA8">
              <w:rPr>
                <w:rFonts w:asciiTheme="majorBidi" w:eastAsia="Times New Roman" w:hAnsiTheme="majorBidi" w:cstheme="majorBidi"/>
                <w:kern w:val="0"/>
                <w:sz w:val="24"/>
                <w:szCs w:val="24"/>
                <w14:ligatures w14:val="none"/>
              </w:rPr>
              <w:t>British</w:t>
            </w:r>
          </w:p>
        </w:tc>
        <w:tc>
          <w:tcPr>
            <w:tcW w:w="1350" w:type="dxa"/>
            <w:noWrap/>
            <w:hideMark/>
          </w:tcPr>
          <w:p w14:paraId="15A3AB78"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4</w:t>
            </w:r>
          </w:p>
        </w:tc>
        <w:tc>
          <w:tcPr>
            <w:tcW w:w="1710" w:type="dxa"/>
            <w:noWrap/>
            <w:hideMark/>
          </w:tcPr>
          <w:p w14:paraId="42F5D2CA"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1.00</w:t>
            </w:r>
          </w:p>
        </w:tc>
        <w:tc>
          <w:tcPr>
            <w:tcW w:w="1260" w:type="dxa"/>
            <w:noWrap/>
            <w:hideMark/>
          </w:tcPr>
          <w:p w14:paraId="6BA47210"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Iraq</w:t>
            </w:r>
          </w:p>
        </w:tc>
        <w:tc>
          <w:tcPr>
            <w:tcW w:w="1440" w:type="dxa"/>
            <w:noWrap/>
            <w:hideMark/>
          </w:tcPr>
          <w:p w14:paraId="1EB8B21F"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1</w:t>
            </w:r>
          </w:p>
        </w:tc>
        <w:tc>
          <w:tcPr>
            <w:tcW w:w="1375" w:type="dxa"/>
            <w:noWrap/>
            <w:hideMark/>
          </w:tcPr>
          <w:p w14:paraId="2E960EBA"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0.25</w:t>
            </w:r>
          </w:p>
        </w:tc>
      </w:tr>
      <w:tr w:rsidR="00D20CA8" w:rsidRPr="00D20CA8" w14:paraId="5D7694F0" w14:textId="77777777" w:rsidTr="00405C79">
        <w:trPr>
          <w:trHeight w:val="247"/>
          <w:jc w:val="center"/>
        </w:trPr>
        <w:tc>
          <w:tcPr>
            <w:cnfStyle w:val="001000000000" w:firstRow="0" w:lastRow="0" w:firstColumn="1" w:lastColumn="0" w:oddVBand="0" w:evenVBand="0" w:oddHBand="0" w:evenHBand="0" w:firstRowFirstColumn="0" w:firstRowLastColumn="0" w:lastRowFirstColumn="0" w:lastRowLastColumn="0"/>
            <w:tcW w:w="1306" w:type="dxa"/>
            <w:noWrap/>
            <w:hideMark/>
          </w:tcPr>
          <w:p w14:paraId="51A76AC6" w14:textId="77777777" w:rsidR="00405C79" w:rsidRPr="00D20CA8" w:rsidRDefault="00405C79" w:rsidP="005C0E20">
            <w:pPr>
              <w:jc w:val="lowKashida"/>
              <w:rPr>
                <w:rFonts w:asciiTheme="majorBidi" w:eastAsia="Times New Roman" w:hAnsiTheme="majorBidi" w:cstheme="majorBidi"/>
                <w:b w:val="0"/>
                <w:bCs w:val="0"/>
                <w:kern w:val="0"/>
                <w:sz w:val="24"/>
                <w:szCs w:val="24"/>
                <w14:ligatures w14:val="none"/>
              </w:rPr>
            </w:pPr>
            <w:r w:rsidRPr="00D20CA8">
              <w:rPr>
                <w:rFonts w:asciiTheme="majorBidi" w:eastAsia="Times New Roman" w:hAnsiTheme="majorBidi" w:cstheme="majorBidi"/>
                <w:kern w:val="0"/>
                <w:sz w:val="24"/>
                <w:szCs w:val="24"/>
                <w14:ligatures w14:val="none"/>
              </w:rPr>
              <w:lastRenderedPageBreak/>
              <w:t>Algeria</w:t>
            </w:r>
          </w:p>
        </w:tc>
        <w:tc>
          <w:tcPr>
            <w:tcW w:w="1350" w:type="dxa"/>
            <w:noWrap/>
            <w:hideMark/>
          </w:tcPr>
          <w:p w14:paraId="1EB811BD"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3</w:t>
            </w:r>
          </w:p>
        </w:tc>
        <w:tc>
          <w:tcPr>
            <w:tcW w:w="1710" w:type="dxa"/>
            <w:noWrap/>
            <w:hideMark/>
          </w:tcPr>
          <w:p w14:paraId="168D310A"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0.75</w:t>
            </w:r>
          </w:p>
        </w:tc>
        <w:tc>
          <w:tcPr>
            <w:tcW w:w="1260" w:type="dxa"/>
            <w:noWrap/>
            <w:hideMark/>
          </w:tcPr>
          <w:p w14:paraId="419F1B02"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Oman</w:t>
            </w:r>
          </w:p>
        </w:tc>
        <w:tc>
          <w:tcPr>
            <w:tcW w:w="1440" w:type="dxa"/>
            <w:noWrap/>
            <w:hideMark/>
          </w:tcPr>
          <w:p w14:paraId="0FDBF56B"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1</w:t>
            </w:r>
          </w:p>
        </w:tc>
        <w:tc>
          <w:tcPr>
            <w:tcW w:w="1375" w:type="dxa"/>
            <w:noWrap/>
            <w:hideMark/>
          </w:tcPr>
          <w:p w14:paraId="0462CD9C"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0.25</w:t>
            </w:r>
          </w:p>
        </w:tc>
      </w:tr>
      <w:tr w:rsidR="00D20CA8" w:rsidRPr="00D20CA8" w14:paraId="4196BB9A" w14:textId="77777777" w:rsidTr="00405C79">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306" w:type="dxa"/>
            <w:noWrap/>
            <w:hideMark/>
          </w:tcPr>
          <w:p w14:paraId="293CAF07" w14:textId="77777777" w:rsidR="00405C79" w:rsidRPr="00D20CA8" w:rsidRDefault="00405C79" w:rsidP="005C0E20">
            <w:pPr>
              <w:jc w:val="lowKashida"/>
              <w:rPr>
                <w:rFonts w:asciiTheme="majorBidi" w:eastAsia="Times New Roman" w:hAnsiTheme="majorBidi" w:cstheme="majorBidi"/>
                <w:b w:val="0"/>
                <w:bCs w:val="0"/>
                <w:kern w:val="0"/>
                <w:sz w:val="24"/>
                <w:szCs w:val="24"/>
                <w14:ligatures w14:val="none"/>
              </w:rPr>
            </w:pPr>
            <w:r w:rsidRPr="00D20CA8">
              <w:rPr>
                <w:rFonts w:asciiTheme="majorBidi" w:eastAsia="Times New Roman" w:hAnsiTheme="majorBidi" w:cstheme="majorBidi"/>
                <w:kern w:val="0"/>
                <w:sz w:val="24"/>
                <w:szCs w:val="24"/>
                <w14:ligatures w14:val="none"/>
              </w:rPr>
              <w:t>Philippines</w:t>
            </w:r>
          </w:p>
        </w:tc>
        <w:tc>
          <w:tcPr>
            <w:tcW w:w="1350" w:type="dxa"/>
            <w:noWrap/>
            <w:hideMark/>
          </w:tcPr>
          <w:p w14:paraId="18137257"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3</w:t>
            </w:r>
          </w:p>
        </w:tc>
        <w:tc>
          <w:tcPr>
            <w:tcW w:w="1710" w:type="dxa"/>
            <w:noWrap/>
            <w:hideMark/>
          </w:tcPr>
          <w:p w14:paraId="3D16426E"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0.75</w:t>
            </w:r>
          </w:p>
        </w:tc>
        <w:tc>
          <w:tcPr>
            <w:tcW w:w="1260" w:type="dxa"/>
            <w:noWrap/>
            <w:hideMark/>
          </w:tcPr>
          <w:p w14:paraId="19FF5319"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Russia</w:t>
            </w:r>
          </w:p>
        </w:tc>
        <w:tc>
          <w:tcPr>
            <w:tcW w:w="1440" w:type="dxa"/>
            <w:noWrap/>
            <w:hideMark/>
          </w:tcPr>
          <w:p w14:paraId="7323B774"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1</w:t>
            </w:r>
          </w:p>
        </w:tc>
        <w:tc>
          <w:tcPr>
            <w:tcW w:w="1375" w:type="dxa"/>
            <w:noWrap/>
            <w:hideMark/>
          </w:tcPr>
          <w:p w14:paraId="3C41C105"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0.25</w:t>
            </w:r>
          </w:p>
        </w:tc>
      </w:tr>
      <w:tr w:rsidR="00D20CA8" w:rsidRPr="00D20CA8" w14:paraId="53B5961C" w14:textId="77777777" w:rsidTr="00405C79">
        <w:trPr>
          <w:trHeight w:val="247"/>
          <w:jc w:val="center"/>
        </w:trPr>
        <w:tc>
          <w:tcPr>
            <w:cnfStyle w:val="001000000000" w:firstRow="0" w:lastRow="0" w:firstColumn="1" w:lastColumn="0" w:oddVBand="0" w:evenVBand="0" w:oddHBand="0" w:evenHBand="0" w:firstRowFirstColumn="0" w:firstRowLastColumn="0" w:lastRowFirstColumn="0" w:lastRowLastColumn="0"/>
            <w:tcW w:w="1306" w:type="dxa"/>
            <w:noWrap/>
            <w:hideMark/>
          </w:tcPr>
          <w:p w14:paraId="4EA7D42B" w14:textId="77777777" w:rsidR="00405C79" w:rsidRPr="00D20CA8" w:rsidRDefault="00405C79" w:rsidP="005C0E20">
            <w:pPr>
              <w:jc w:val="lowKashida"/>
              <w:rPr>
                <w:rFonts w:asciiTheme="majorBidi" w:eastAsia="Times New Roman" w:hAnsiTheme="majorBidi" w:cstheme="majorBidi"/>
                <w:b w:val="0"/>
                <w:bCs w:val="0"/>
                <w:kern w:val="0"/>
                <w:sz w:val="24"/>
                <w:szCs w:val="24"/>
                <w14:ligatures w14:val="none"/>
              </w:rPr>
            </w:pPr>
            <w:r w:rsidRPr="00D20CA8">
              <w:rPr>
                <w:rFonts w:asciiTheme="majorBidi" w:eastAsia="Times New Roman" w:hAnsiTheme="majorBidi" w:cstheme="majorBidi"/>
                <w:kern w:val="0"/>
                <w:sz w:val="24"/>
                <w:szCs w:val="24"/>
                <w14:ligatures w14:val="none"/>
              </w:rPr>
              <w:t xml:space="preserve">Afghanistan </w:t>
            </w:r>
          </w:p>
        </w:tc>
        <w:tc>
          <w:tcPr>
            <w:tcW w:w="1350" w:type="dxa"/>
            <w:noWrap/>
            <w:hideMark/>
          </w:tcPr>
          <w:p w14:paraId="17834B91"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3</w:t>
            </w:r>
          </w:p>
        </w:tc>
        <w:tc>
          <w:tcPr>
            <w:tcW w:w="1710" w:type="dxa"/>
            <w:noWrap/>
            <w:hideMark/>
          </w:tcPr>
          <w:p w14:paraId="22F6BA44"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0.75</w:t>
            </w:r>
          </w:p>
        </w:tc>
        <w:tc>
          <w:tcPr>
            <w:tcW w:w="1260" w:type="dxa"/>
            <w:noWrap/>
            <w:hideMark/>
          </w:tcPr>
          <w:p w14:paraId="6E548C35"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Tajikistan</w:t>
            </w:r>
          </w:p>
        </w:tc>
        <w:tc>
          <w:tcPr>
            <w:tcW w:w="1440" w:type="dxa"/>
            <w:noWrap/>
            <w:hideMark/>
          </w:tcPr>
          <w:p w14:paraId="3C93AE5D"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1</w:t>
            </w:r>
          </w:p>
        </w:tc>
        <w:tc>
          <w:tcPr>
            <w:tcW w:w="1375" w:type="dxa"/>
            <w:noWrap/>
            <w:hideMark/>
          </w:tcPr>
          <w:p w14:paraId="0894E8DA"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0.25</w:t>
            </w:r>
          </w:p>
        </w:tc>
      </w:tr>
      <w:tr w:rsidR="00D20CA8" w:rsidRPr="00D20CA8" w14:paraId="384A794B" w14:textId="77777777" w:rsidTr="00405C79">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306" w:type="dxa"/>
            <w:noWrap/>
            <w:hideMark/>
          </w:tcPr>
          <w:p w14:paraId="784CA2BC" w14:textId="77777777" w:rsidR="00405C79" w:rsidRPr="00D20CA8" w:rsidRDefault="00405C79" w:rsidP="005C0E20">
            <w:pPr>
              <w:jc w:val="lowKashida"/>
              <w:rPr>
                <w:rFonts w:asciiTheme="majorBidi" w:eastAsia="Times New Roman" w:hAnsiTheme="majorBidi" w:cstheme="majorBidi"/>
                <w:b w:val="0"/>
                <w:bCs w:val="0"/>
                <w:kern w:val="0"/>
                <w:sz w:val="24"/>
                <w:szCs w:val="24"/>
                <w14:ligatures w14:val="none"/>
              </w:rPr>
            </w:pPr>
            <w:r w:rsidRPr="00D20CA8">
              <w:rPr>
                <w:rFonts w:asciiTheme="majorBidi" w:eastAsia="Times New Roman" w:hAnsiTheme="majorBidi" w:cstheme="majorBidi"/>
                <w:kern w:val="0"/>
                <w:sz w:val="24"/>
                <w:szCs w:val="24"/>
                <w14:ligatures w14:val="none"/>
              </w:rPr>
              <w:t>Sudan</w:t>
            </w:r>
          </w:p>
        </w:tc>
        <w:tc>
          <w:tcPr>
            <w:tcW w:w="1350" w:type="dxa"/>
            <w:noWrap/>
            <w:hideMark/>
          </w:tcPr>
          <w:p w14:paraId="2F0BFC16"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3</w:t>
            </w:r>
          </w:p>
        </w:tc>
        <w:tc>
          <w:tcPr>
            <w:tcW w:w="1710" w:type="dxa"/>
            <w:noWrap/>
            <w:hideMark/>
          </w:tcPr>
          <w:p w14:paraId="79D2A025"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0.75</w:t>
            </w:r>
          </w:p>
        </w:tc>
        <w:tc>
          <w:tcPr>
            <w:tcW w:w="1260" w:type="dxa"/>
            <w:noWrap/>
            <w:hideMark/>
          </w:tcPr>
          <w:p w14:paraId="2056A893"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Yemen</w:t>
            </w:r>
          </w:p>
        </w:tc>
        <w:tc>
          <w:tcPr>
            <w:tcW w:w="1440" w:type="dxa"/>
            <w:noWrap/>
            <w:hideMark/>
          </w:tcPr>
          <w:p w14:paraId="378DD011"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1</w:t>
            </w:r>
          </w:p>
        </w:tc>
        <w:tc>
          <w:tcPr>
            <w:tcW w:w="1375" w:type="dxa"/>
            <w:noWrap/>
            <w:hideMark/>
          </w:tcPr>
          <w:p w14:paraId="5673ECA6"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D20CA8">
              <w:rPr>
                <w:rFonts w:asciiTheme="majorBidi" w:eastAsia="Times New Roman" w:hAnsiTheme="majorBidi" w:cstheme="majorBidi"/>
                <w:kern w:val="0"/>
                <w:sz w:val="24"/>
                <w:szCs w:val="24"/>
                <w14:ligatures w14:val="none"/>
              </w:rPr>
              <w:t>0.25</w:t>
            </w:r>
          </w:p>
        </w:tc>
      </w:tr>
    </w:tbl>
    <w:p w14:paraId="2413FD46" w14:textId="7777777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ab/>
      </w:r>
    </w:p>
    <w:p w14:paraId="2DE83AF3" w14:textId="2B7F06FB"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Table 2 displays the demographic characteristics of the respondents. The survey achieved a reasonable gender balance, with 44% male and 56% female participants. </w:t>
      </w:r>
      <w:r w:rsidR="00F436A1">
        <w:rPr>
          <w:rFonts w:asciiTheme="majorBidi" w:hAnsiTheme="majorBidi" w:cstheme="majorBidi"/>
          <w:sz w:val="24"/>
          <w:szCs w:val="24"/>
        </w:rPr>
        <w:t>Regarding</w:t>
      </w:r>
      <w:r w:rsidRPr="00D20CA8">
        <w:rPr>
          <w:rFonts w:asciiTheme="majorBidi" w:hAnsiTheme="majorBidi" w:cstheme="majorBidi"/>
          <w:sz w:val="24"/>
          <w:szCs w:val="24"/>
        </w:rPr>
        <w:t xml:space="preserve"> education, 56% hold bachelor's degrees, 35.5% have master's degrees, 4.48% possess Ph.D. degrees, and 3.98% completed secondary school. Regarding age distribution, approximately 46% of respondents are aged 31-40, 35% fall within 21-30 years, and 15% are in the 41-50 age range.</w:t>
      </w:r>
    </w:p>
    <w:p w14:paraId="0F9595D1" w14:textId="1E386F1F" w:rsidR="00900A0E" w:rsidRPr="00D20CA8" w:rsidRDefault="00F436A1" w:rsidP="005C0E20">
      <w:pPr>
        <w:jc w:val="lowKashida"/>
        <w:rPr>
          <w:rFonts w:asciiTheme="majorBidi" w:hAnsiTheme="majorBidi" w:cstheme="majorBidi"/>
          <w:sz w:val="24"/>
          <w:szCs w:val="24"/>
        </w:rPr>
      </w:pPr>
      <w:r>
        <w:rPr>
          <w:rFonts w:asciiTheme="majorBidi" w:hAnsiTheme="majorBidi" w:cstheme="majorBidi"/>
          <w:sz w:val="24"/>
          <w:szCs w:val="24"/>
        </w:rPr>
        <w:t>Regarding</w:t>
      </w:r>
      <w:r w:rsidR="00900A0E" w:rsidRPr="00D20CA8">
        <w:rPr>
          <w:rFonts w:asciiTheme="majorBidi" w:hAnsiTheme="majorBidi" w:cstheme="majorBidi"/>
          <w:sz w:val="24"/>
          <w:szCs w:val="24"/>
        </w:rPr>
        <w:t xml:space="preserve"> monthly income distribution among the respondents, approximately 32% chose not to disclose their income. Among those who did disclose, 9% fall into the lowest income bracket (less than QAR 5,000), while around 16% earn between QAR 20,000 and QAR 25,000. </w:t>
      </w:r>
      <w:r>
        <w:rPr>
          <w:rFonts w:asciiTheme="majorBidi" w:hAnsiTheme="majorBidi" w:cstheme="majorBidi"/>
          <w:sz w:val="24"/>
          <w:szCs w:val="24"/>
        </w:rPr>
        <w:t>Additionally, about 11% of the respondents earn between 15,000 and</w:t>
      </w:r>
      <w:r w:rsidR="00900A0E" w:rsidRPr="00D20CA8">
        <w:rPr>
          <w:rFonts w:asciiTheme="majorBidi" w:hAnsiTheme="majorBidi" w:cstheme="majorBidi"/>
          <w:sz w:val="24"/>
          <w:szCs w:val="24"/>
        </w:rPr>
        <w:t xml:space="preserve"> 20,000 QAR, and 10% are in the income range of 30,000 and above.</w:t>
      </w:r>
    </w:p>
    <w:p w14:paraId="78A1268C" w14:textId="760BCA28"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In terms of employment distribution among the respondents, approximately 29% work in the education and research sector, while around 30% are in </w:t>
      </w:r>
      <w:r w:rsidR="00F436A1">
        <w:rPr>
          <w:rFonts w:asciiTheme="majorBidi" w:hAnsiTheme="majorBidi" w:cstheme="majorBidi"/>
          <w:sz w:val="24"/>
          <w:szCs w:val="24"/>
        </w:rPr>
        <w:t xml:space="preserve">the </w:t>
      </w:r>
      <w:r w:rsidRPr="00D20CA8">
        <w:rPr>
          <w:rFonts w:asciiTheme="majorBidi" w:hAnsiTheme="majorBidi" w:cstheme="majorBidi"/>
          <w:sz w:val="24"/>
          <w:szCs w:val="24"/>
        </w:rPr>
        <w:t>engineering or information technology fields. About 15% are employed in the health sector, and 13% are business owners. The survey also includes students not currently working (7.71%) and individuals engaged in other occupations (5.72%).</w:t>
      </w:r>
    </w:p>
    <w:p w14:paraId="5950CED4" w14:textId="7777777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Table 2: Profile of respondents</w:t>
      </w:r>
    </w:p>
    <w:tbl>
      <w:tblPr>
        <w:tblStyle w:val="PlainTable5"/>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2"/>
        <w:gridCol w:w="2083"/>
        <w:gridCol w:w="3101"/>
        <w:gridCol w:w="2592"/>
      </w:tblGrid>
      <w:tr w:rsidR="00D20CA8" w:rsidRPr="00D20CA8" w14:paraId="0BE480B2" w14:textId="77777777" w:rsidTr="00A047C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92" w:type="dxa"/>
          </w:tcPr>
          <w:p w14:paraId="36B13289" w14:textId="77777777" w:rsidR="00405C79" w:rsidRPr="00D20CA8" w:rsidRDefault="00405C79" w:rsidP="005C0E20">
            <w:pPr>
              <w:jc w:val="lowKashida"/>
              <w:rPr>
                <w:rFonts w:asciiTheme="majorBidi" w:hAnsiTheme="majorBidi"/>
                <w:i w:val="0"/>
                <w:iCs w:val="0"/>
                <w:sz w:val="24"/>
                <w:szCs w:val="24"/>
              </w:rPr>
            </w:pPr>
            <w:r w:rsidRPr="00D20CA8">
              <w:rPr>
                <w:rFonts w:asciiTheme="majorBidi" w:hAnsiTheme="majorBidi"/>
                <w:sz w:val="24"/>
                <w:szCs w:val="24"/>
              </w:rPr>
              <w:t>Characteristics N=402</w:t>
            </w:r>
          </w:p>
        </w:tc>
        <w:tc>
          <w:tcPr>
            <w:tcW w:w="2083" w:type="dxa"/>
          </w:tcPr>
          <w:p w14:paraId="46EC7DE6" w14:textId="77777777" w:rsidR="00405C79" w:rsidRPr="00D20CA8" w:rsidRDefault="00405C79" w:rsidP="005C0E20">
            <w:pPr>
              <w:jc w:val="lowKashida"/>
              <w:cnfStyle w:val="100000000000" w:firstRow="1" w:lastRow="0" w:firstColumn="0" w:lastColumn="0" w:oddVBand="0" w:evenVBand="0" w:oddHBand="0" w:evenHBand="0" w:firstRowFirstColumn="0" w:firstRowLastColumn="0" w:lastRowFirstColumn="0" w:lastRowLastColumn="0"/>
              <w:rPr>
                <w:rFonts w:asciiTheme="majorBidi" w:hAnsiTheme="majorBidi"/>
                <w:i w:val="0"/>
                <w:iCs w:val="0"/>
                <w:sz w:val="24"/>
                <w:szCs w:val="24"/>
              </w:rPr>
            </w:pPr>
            <w:r w:rsidRPr="00D20CA8">
              <w:rPr>
                <w:rFonts w:asciiTheme="majorBidi" w:hAnsiTheme="majorBidi"/>
                <w:sz w:val="24"/>
                <w:szCs w:val="24"/>
              </w:rPr>
              <w:t>Percentage</w:t>
            </w:r>
          </w:p>
        </w:tc>
        <w:tc>
          <w:tcPr>
            <w:tcW w:w="3101" w:type="dxa"/>
          </w:tcPr>
          <w:p w14:paraId="79A6A902" w14:textId="77777777" w:rsidR="00405C79" w:rsidRPr="00D20CA8" w:rsidRDefault="00405C79" w:rsidP="005C0E20">
            <w:pPr>
              <w:jc w:val="lowKashida"/>
              <w:cnfStyle w:val="100000000000" w:firstRow="1" w:lastRow="0" w:firstColumn="0" w:lastColumn="0" w:oddVBand="0" w:evenVBand="0" w:oddHBand="0" w:evenHBand="0" w:firstRowFirstColumn="0" w:firstRowLastColumn="0" w:lastRowFirstColumn="0" w:lastRowLastColumn="0"/>
              <w:rPr>
                <w:rFonts w:asciiTheme="majorBidi" w:hAnsiTheme="majorBidi"/>
                <w:i w:val="0"/>
                <w:iCs w:val="0"/>
                <w:sz w:val="24"/>
                <w:szCs w:val="24"/>
              </w:rPr>
            </w:pPr>
          </w:p>
        </w:tc>
        <w:tc>
          <w:tcPr>
            <w:tcW w:w="2592" w:type="dxa"/>
          </w:tcPr>
          <w:p w14:paraId="09AEA45F" w14:textId="77777777" w:rsidR="00405C79" w:rsidRPr="00D20CA8" w:rsidRDefault="00405C79" w:rsidP="005C0E20">
            <w:pPr>
              <w:jc w:val="lowKashida"/>
              <w:cnfStyle w:val="100000000000" w:firstRow="1" w:lastRow="0" w:firstColumn="0" w:lastColumn="0" w:oddVBand="0" w:evenVBand="0" w:oddHBand="0" w:evenHBand="0" w:firstRowFirstColumn="0" w:firstRowLastColumn="0" w:lastRowFirstColumn="0" w:lastRowLastColumn="0"/>
              <w:rPr>
                <w:rFonts w:asciiTheme="majorBidi" w:hAnsiTheme="majorBidi"/>
                <w:i w:val="0"/>
                <w:iCs w:val="0"/>
                <w:sz w:val="24"/>
                <w:szCs w:val="24"/>
              </w:rPr>
            </w:pPr>
            <w:r w:rsidRPr="00D20CA8">
              <w:rPr>
                <w:rFonts w:asciiTheme="majorBidi" w:hAnsiTheme="majorBidi"/>
                <w:sz w:val="24"/>
                <w:szCs w:val="24"/>
              </w:rPr>
              <w:t>Percentage</w:t>
            </w:r>
          </w:p>
        </w:tc>
      </w:tr>
      <w:tr w:rsidR="00D20CA8" w:rsidRPr="00D20CA8" w14:paraId="323A7258" w14:textId="77777777" w:rsidTr="00A047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2" w:type="dxa"/>
          </w:tcPr>
          <w:p w14:paraId="5829D845" w14:textId="77777777" w:rsidR="00405C79" w:rsidRPr="00D20CA8" w:rsidRDefault="00405C79" w:rsidP="005C0E20">
            <w:pPr>
              <w:jc w:val="lowKashida"/>
              <w:rPr>
                <w:rFonts w:asciiTheme="majorBidi" w:hAnsiTheme="majorBidi"/>
                <w:b/>
                <w:bCs/>
                <w:i w:val="0"/>
                <w:iCs w:val="0"/>
                <w:sz w:val="24"/>
                <w:szCs w:val="24"/>
              </w:rPr>
            </w:pPr>
            <w:r w:rsidRPr="00D20CA8">
              <w:rPr>
                <w:rFonts w:asciiTheme="majorBidi" w:hAnsiTheme="majorBidi"/>
                <w:b/>
                <w:bCs/>
                <w:sz w:val="24"/>
                <w:szCs w:val="24"/>
              </w:rPr>
              <w:t>Gender</w:t>
            </w:r>
          </w:p>
        </w:tc>
        <w:tc>
          <w:tcPr>
            <w:tcW w:w="2083" w:type="dxa"/>
          </w:tcPr>
          <w:p w14:paraId="585AC454"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3101" w:type="dxa"/>
          </w:tcPr>
          <w:p w14:paraId="2D2AAE9F"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D20CA8">
              <w:rPr>
                <w:rFonts w:asciiTheme="majorBidi" w:hAnsiTheme="majorBidi" w:cstheme="majorBidi"/>
                <w:b/>
                <w:bCs/>
                <w:sz w:val="24"/>
                <w:szCs w:val="24"/>
              </w:rPr>
              <w:t>Income</w:t>
            </w:r>
          </w:p>
        </w:tc>
        <w:tc>
          <w:tcPr>
            <w:tcW w:w="2592" w:type="dxa"/>
          </w:tcPr>
          <w:p w14:paraId="5979D703"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D20CA8" w:rsidRPr="00D20CA8" w14:paraId="230E2835" w14:textId="77777777" w:rsidTr="00A047C0">
        <w:trPr>
          <w:trHeight w:val="191"/>
          <w:jc w:val="center"/>
        </w:trPr>
        <w:tc>
          <w:tcPr>
            <w:cnfStyle w:val="001000000000" w:firstRow="0" w:lastRow="0" w:firstColumn="1" w:lastColumn="0" w:oddVBand="0" w:evenVBand="0" w:oddHBand="0" w:evenHBand="0" w:firstRowFirstColumn="0" w:firstRowLastColumn="0" w:lastRowFirstColumn="0" w:lastRowLastColumn="0"/>
            <w:tcW w:w="2592" w:type="dxa"/>
          </w:tcPr>
          <w:p w14:paraId="07417529" w14:textId="77777777" w:rsidR="00405C79" w:rsidRPr="00D20CA8" w:rsidRDefault="00405C79" w:rsidP="005C0E20">
            <w:pPr>
              <w:pStyle w:val="ListParagraph"/>
              <w:numPr>
                <w:ilvl w:val="0"/>
                <w:numId w:val="2"/>
              </w:numPr>
              <w:jc w:val="lowKashida"/>
              <w:rPr>
                <w:rFonts w:asciiTheme="majorBidi" w:hAnsiTheme="majorBidi"/>
                <w:i w:val="0"/>
                <w:iCs w:val="0"/>
                <w:sz w:val="24"/>
                <w:szCs w:val="24"/>
              </w:rPr>
            </w:pPr>
            <w:r w:rsidRPr="00D20CA8">
              <w:rPr>
                <w:rFonts w:asciiTheme="majorBidi" w:hAnsiTheme="majorBidi"/>
                <w:sz w:val="24"/>
                <w:szCs w:val="24"/>
              </w:rPr>
              <w:t>Male</w:t>
            </w:r>
          </w:p>
        </w:tc>
        <w:tc>
          <w:tcPr>
            <w:tcW w:w="2083" w:type="dxa"/>
          </w:tcPr>
          <w:p w14:paraId="75385B8A"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44.03</w:t>
            </w:r>
          </w:p>
        </w:tc>
        <w:tc>
          <w:tcPr>
            <w:tcW w:w="3101" w:type="dxa"/>
          </w:tcPr>
          <w:p w14:paraId="0E1CBF70" w14:textId="77777777" w:rsidR="00405C79" w:rsidRPr="00D20CA8" w:rsidRDefault="00405C79" w:rsidP="005C0E20">
            <w:pPr>
              <w:pStyle w:val="ListParagraph"/>
              <w:numPr>
                <w:ilvl w:val="0"/>
                <w:numId w:val="5"/>
              </w:num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Less than QAR 5000</w:t>
            </w:r>
          </w:p>
        </w:tc>
        <w:tc>
          <w:tcPr>
            <w:tcW w:w="2592" w:type="dxa"/>
          </w:tcPr>
          <w:p w14:paraId="7FE8DA5D"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9.20</w:t>
            </w:r>
          </w:p>
        </w:tc>
      </w:tr>
      <w:tr w:rsidR="00D20CA8" w:rsidRPr="00D20CA8" w14:paraId="6C536BFB" w14:textId="77777777" w:rsidTr="00A047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2" w:type="dxa"/>
          </w:tcPr>
          <w:p w14:paraId="71294DFF" w14:textId="77777777" w:rsidR="00405C79" w:rsidRPr="00D20CA8" w:rsidRDefault="00405C79" w:rsidP="005C0E20">
            <w:pPr>
              <w:pStyle w:val="ListParagraph"/>
              <w:numPr>
                <w:ilvl w:val="0"/>
                <w:numId w:val="2"/>
              </w:numPr>
              <w:jc w:val="lowKashida"/>
              <w:rPr>
                <w:rFonts w:asciiTheme="majorBidi" w:hAnsiTheme="majorBidi"/>
                <w:i w:val="0"/>
                <w:iCs w:val="0"/>
                <w:sz w:val="24"/>
                <w:szCs w:val="24"/>
              </w:rPr>
            </w:pPr>
            <w:r w:rsidRPr="00D20CA8">
              <w:rPr>
                <w:rFonts w:asciiTheme="majorBidi" w:hAnsiTheme="majorBidi"/>
                <w:sz w:val="24"/>
                <w:szCs w:val="24"/>
              </w:rPr>
              <w:t>Female</w:t>
            </w:r>
          </w:p>
        </w:tc>
        <w:tc>
          <w:tcPr>
            <w:tcW w:w="2083" w:type="dxa"/>
          </w:tcPr>
          <w:p w14:paraId="58A21A2F"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55.97</w:t>
            </w:r>
          </w:p>
        </w:tc>
        <w:tc>
          <w:tcPr>
            <w:tcW w:w="3101" w:type="dxa"/>
          </w:tcPr>
          <w:p w14:paraId="5DD3624D" w14:textId="77777777" w:rsidR="00405C79" w:rsidRPr="00D20CA8" w:rsidRDefault="00405C79" w:rsidP="005C0E20">
            <w:pPr>
              <w:pStyle w:val="ListParagraph"/>
              <w:numPr>
                <w:ilvl w:val="0"/>
                <w:numId w:val="5"/>
              </w:num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QAR 5000 to QAR 10,000</w:t>
            </w:r>
          </w:p>
        </w:tc>
        <w:tc>
          <w:tcPr>
            <w:tcW w:w="2592" w:type="dxa"/>
          </w:tcPr>
          <w:p w14:paraId="116F0D06"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5.72</w:t>
            </w:r>
          </w:p>
        </w:tc>
      </w:tr>
      <w:tr w:rsidR="00D20CA8" w:rsidRPr="00D20CA8" w14:paraId="446CF0A7" w14:textId="77777777" w:rsidTr="00A047C0">
        <w:trPr>
          <w:jc w:val="center"/>
        </w:trPr>
        <w:tc>
          <w:tcPr>
            <w:cnfStyle w:val="001000000000" w:firstRow="0" w:lastRow="0" w:firstColumn="1" w:lastColumn="0" w:oddVBand="0" w:evenVBand="0" w:oddHBand="0" w:evenHBand="0" w:firstRowFirstColumn="0" w:firstRowLastColumn="0" w:lastRowFirstColumn="0" w:lastRowLastColumn="0"/>
            <w:tcW w:w="2592" w:type="dxa"/>
          </w:tcPr>
          <w:p w14:paraId="57625CFD" w14:textId="77777777" w:rsidR="00405C79" w:rsidRPr="00D20CA8" w:rsidRDefault="00405C79" w:rsidP="005C0E20">
            <w:pPr>
              <w:pStyle w:val="ListParagraph"/>
              <w:jc w:val="lowKashida"/>
              <w:rPr>
                <w:rFonts w:asciiTheme="majorBidi" w:hAnsiTheme="majorBidi"/>
                <w:i w:val="0"/>
                <w:iCs w:val="0"/>
                <w:sz w:val="24"/>
                <w:szCs w:val="24"/>
              </w:rPr>
            </w:pPr>
          </w:p>
        </w:tc>
        <w:tc>
          <w:tcPr>
            <w:tcW w:w="2083" w:type="dxa"/>
          </w:tcPr>
          <w:p w14:paraId="739649D2"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3101" w:type="dxa"/>
          </w:tcPr>
          <w:p w14:paraId="679AFD6A" w14:textId="77777777" w:rsidR="00405C79" w:rsidRPr="00D20CA8" w:rsidRDefault="00405C79" w:rsidP="005C0E20">
            <w:pPr>
              <w:pStyle w:val="ListParagraph"/>
              <w:numPr>
                <w:ilvl w:val="0"/>
                <w:numId w:val="5"/>
              </w:num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QAR 10,000 to QAR 15,000</w:t>
            </w:r>
          </w:p>
        </w:tc>
        <w:tc>
          <w:tcPr>
            <w:tcW w:w="2592" w:type="dxa"/>
          </w:tcPr>
          <w:p w14:paraId="3FF8BCBA"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8.46</w:t>
            </w:r>
          </w:p>
        </w:tc>
      </w:tr>
      <w:tr w:rsidR="00D20CA8" w:rsidRPr="00D20CA8" w14:paraId="45FAAE21" w14:textId="77777777" w:rsidTr="00A047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2" w:type="dxa"/>
          </w:tcPr>
          <w:p w14:paraId="225922A4" w14:textId="77777777" w:rsidR="00405C79" w:rsidRPr="00D20CA8" w:rsidRDefault="00405C79" w:rsidP="005C0E20">
            <w:pPr>
              <w:jc w:val="lowKashida"/>
              <w:rPr>
                <w:rFonts w:asciiTheme="majorBidi" w:hAnsiTheme="majorBidi"/>
                <w:b/>
                <w:bCs/>
                <w:i w:val="0"/>
                <w:iCs w:val="0"/>
                <w:sz w:val="24"/>
                <w:szCs w:val="24"/>
              </w:rPr>
            </w:pPr>
            <w:r w:rsidRPr="00D20CA8">
              <w:rPr>
                <w:rFonts w:asciiTheme="majorBidi" w:hAnsiTheme="majorBidi"/>
                <w:b/>
                <w:bCs/>
                <w:sz w:val="24"/>
                <w:szCs w:val="24"/>
              </w:rPr>
              <w:t>Education</w:t>
            </w:r>
          </w:p>
        </w:tc>
        <w:tc>
          <w:tcPr>
            <w:tcW w:w="2083" w:type="dxa"/>
          </w:tcPr>
          <w:p w14:paraId="5092BD9A"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3101" w:type="dxa"/>
          </w:tcPr>
          <w:p w14:paraId="2880967D" w14:textId="77777777" w:rsidR="00405C79" w:rsidRPr="00D20CA8" w:rsidRDefault="00405C79" w:rsidP="005C0E20">
            <w:pPr>
              <w:pStyle w:val="ListParagraph"/>
              <w:numPr>
                <w:ilvl w:val="0"/>
                <w:numId w:val="5"/>
              </w:num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QAR 15000 to QAR 20,000</w:t>
            </w:r>
          </w:p>
        </w:tc>
        <w:tc>
          <w:tcPr>
            <w:tcW w:w="2592" w:type="dxa"/>
          </w:tcPr>
          <w:p w14:paraId="6819EF35"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11.19</w:t>
            </w:r>
          </w:p>
        </w:tc>
      </w:tr>
      <w:tr w:rsidR="00D20CA8" w:rsidRPr="00D20CA8" w14:paraId="4445DF34" w14:textId="77777777" w:rsidTr="00A047C0">
        <w:trPr>
          <w:jc w:val="center"/>
        </w:trPr>
        <w:tc>
          <w:tcPr>
            <w:cnfStyle w:val="001000000000" w:firstRow="0" w:lastRow="0" w:firstColumn="1" w:lastColumn="0" w:oddVBand="0" w:evenVBand="0" w:oddHBand="0" w:evenHBand="0" w:firstRowFirstColumn="0" w:firstRowLastColumn="0" w:lastRowFirstColumn="0" w:lastRowLastColumn="0"/>
            <w:tcW w:w="2592" w:type="dxa"/>
          </w:tcPr>
          <w:p w14:paraId="3CF6F4B7" w14:textId="77777777" w:rsidR="00405C79" w:rsidRPr="00D20CA8" w:rsidRDefault="00405C79" w:rsidP="005C0E20">
            <w:pPr>
              <w:pStyle w:val="ListParagraph"/>
              <w:numPr>
                <w:ilvl w:val="0"/>
                <w:numId w:val="3"/>
              </w:numPr>
              <w:jc w:val="lowKashida"/>
              <w:rPr>
                <w:rFonts w:asciiTheme="majorBidi" w:hAnsiTheme="majorBidi"/>
                <w:i w:val="0"/>
                <w:iCs w:val="0"/>
                <w:sz w:val="24"/>
                <w:szCs w:val="24"/>
              </w:rPr>
            </w:pPr>
            <w:r w:rsidRPr="00D20CA8">
              <w:rPr>
                <w:rFonts w:asciiTheme="majorBidi" w:hAnsiTheme="majorBidi"/>
                <w:sz w:val="24"/>
                <w:szCs w:val="24"/>
              </w:rPr>
              <w:t>Secondary School</w:t>
            </w:r>
          </w:p>
        </w:tc>
        <w:tc>
          <w:tcPr>
            <w:tcW w:w="2083" w:type="dxa"/>
            <w:vAlign w:val="bottom"/>
          </w:tcPr>
          <w:p w14:paraId="6916EA51"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3.98</w:t>
            </w:r>
          </w:p>
        </w:tc>
        <w:tc>
          <w:tcPr>
            <w:tcW w:w="3101" w:type="dxa"/>
          </w:tcPr>
          <w:p w14:paraId="2F281D76" w14:textId="77777777" w:rsidR="00405C79" w:rsidRPr="00D20CA8" w:rsidRDefault="00405C79" w:rsidP="005C0E20">
            <w:pPr>
              <w:pStyle w:val="ListParagraph"/>
              <w:numPr>
                <w:ilvl w:val="0"/>
                <w:numId w:val="5"/>
              </w:num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QAR 20,000 to QAR 25,000</w:t>
            </w:r>
          </w:p>
        </w:tc>
        <w:tc>
          <w:tcPr>
            <w:tcW w:w="2592" w:type="dxa"/>
          </w:tcPr>
          <w:p w14:paraId="30FF1142"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16.42</w:t>
            </w:r>
          </w:p>
        </w:tc>
      </w:tr>
      <w:tr w:rsidR="00D20CA8" w:rsidRPr="00D20CA8" w14:paraId="3FAB51FF" w14:textId="77777777" w:rsidTr="00A047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2" w:type="dxa"/>
          </w:tcPr>
          <w:p w14:paraId="479099A5" w14:textId="77777777" w:rsidR="00405C79" w:rsidRPr="00D20CA8" w:rsidRDefault="00405C79" w:rsidP="005C0E20">
            <w:pPr>
              <w:pStyle w:val="ListParagraph"/>
              <w:numPr>
                <w:ilvl w:val="0"/>
                <w:numId w:val="3"/>
              </w:numPr>
              <w:jc w:val="lowKashida"/>
              <w:rPr>
                <w:rFonts w:asciiTheme="majorBidi" w:hAnsiTheme="majorBidi"/>
                <w:i w:val="0"/>
                <w:iCs w:val="0"/>
                <w:sz w:val="24"/>
                <w:szCs w:val="24"/>
              </w:rPr>
            </w:pPr>
            <w:r w:rsidRPr="00D20CA8">
              <w:rPr>
                <w:rFonts w:asciiTheme="majorBidi" w:hAnsiTheme="majorBidi"/>
                <w:sz w:val="24"/>
                <w:szCs w:val="24"/>
              </w:rPr>
              <w:t>Bachelors</w:t>
            </w:r>
          </w:p>
        </w:tc>
        <w:tc>
          <w:tcPr>
            <w:tcW w:w="2083" w:type="dxa"/>
            <w:vAlign w:val="bottom"/>
          </w:tcPr>
          <w:p w14:paraId="11631AEC"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55.97</w:t>
            </w:r>
          </w:p>
        </w:tc>
        <w:tc>
          <w:tcPr>
            <w:tcW w:w="3101" w:type="dxa"/>
          </w:tcPr>
          <w:p w14:paraId="220C8A41" w14:textId="77777777" w:rsidR="00405C79" w:rsidRPr="00D20CA8" w:rsidRDefault="00405C79" w:rsidP="005C0E20">
            <w:pPr>
              <w:pStyle w:val="ListParagraph"/>
              <w:numPr>
                <w:ilvl w:val="0"/>
                <w:numId w:val="5"/>
              </w:num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QAR 25,000 to QAR 30,000</w:t>
            </w:r>
          </w:p>
        </w:tc>
        <w:tc>
          <w:tcPr>
            <w:tcW w:w="2592" w:type="dxa"/>
          </w:tcPr>
          <w:p w14:paraId="5620B422"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7.21</w:t>
            </w:r>
          </w:p>
        </w:tc>
      </w:tr>
      <w:tr w:rsidR="00D20CA8" w:rsidRPr="00D20CA8" w14:paraId="5236199B" w14:textId="77777777" w:rsidTr="00A047C0">
        <w:trPr>
          <w:jc w:val="center"/>
        </w:trPr>
        <w:tc>
          <w:tcPr>
            <w:cnfStyle w:val="001000000000" w:firstRow="0" w:lastRow="0" w:firstColumn="1" w:lastColumn="0" w:oddVBand="0" w:evenVBand="0" w:oddHBand="0" w:evenHBand="0" w:firstRowFirstColumn="0" w:firstRowLastColumn="0" w:lastRowFirstColumn="0" w:lastRowLastColumn="0"/>
            <w:tcW w:w="2592" w:type="dxa"/>
          </w:tcPr>
          <w:p w14:paraId="2A756EB7" w14:textId="77777777" w:rsidR="00405C79" w:rsidRPr="00D20CA8" w:rsidRDefault="00405C79" w:rsidP="005C0E20">
            <w:pPr>
              <w:pStyle w:val="ListParagraph"/>
              <w:numPr>
                <w:ilvl w:val="0"/>
                <w:numId w:val="3"/>
              </w:numPr>
              <w:jc w:val="lowKashida"/>
              <w:rPr>
                <w:rFonts w:asciiTheme="majorBidi" w:hAnsiTheme="majorBidi"/>
                <w:i w:val="0"/>
                <w:iCs w:val="0"/>
                <w:sz w:val="24"/>
                <w:szCs w:val="24"/>
              </w:rPr>
            </w:pPr>
            <w:r w:rsidRPr="00D20CA8">
              <w:rPr>
                <w:rFonts w:asciiTheme="majorBidi" w:hAnsiTheme="majorBidi"/>
                <w:sz w:val="24"/>
                <w:szCs w:val="24"/>
              </w:rPr>
              <w:t>Master</w:t>
            </w:r>
          </w:p>
        </w:tc>
        <w:tc>
          <w:tcPr>
            <w:tcW w:w="2083" w:type="dxa"/>
            <w:vAlign w:val="bottom"/>
          </w:tcPr>
          <w:p w14:paraId="76253C77"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35.57</w:t>
            </w:r>
          </w:p>
        </w:tc>
        <w:tc>
          <w:tcPr>
            <w:tcW w:w="3101" w:type="dxa"/>
          </w:tcPr>
          <w:p w14:paraId="0D8DA735" w14:textId="77777777" w:rsidR="00405C79" w:rsidRPr="00D20CA8" w:rsidRDefault="00405C79" w:rsidP="005C0E20">
            <w:pPr>
              <w:pStyle w:val="ListParagraph"/>
              <w:numPr>
                <w:ilvl w:val="0"/>
                <w:numId w:val="5"/>
              </w:num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Above QAR 30,000</w:t>
            </w:r>
          </w:p>
        </w:tc>
        <w:tc>
          <w:tcPr>
            <w:tcW w:w="2592" w:type="dxa"/>
          </w:tcPr>
          <w:p w14:paraId="0E54470B"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9.95</w:t>
            </w:r>
          </w:p>
        </w:tc>
      </w:tr>
      <w:tr w:rsidR="00D20CA8" w:rsidRPr="00D20CA8" w14:paraId="3F543B8C" w14:textId="77777777" w:rsidTr="00A047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2" w:type="dxa"/>
          </w:tcPr>
          <w:p w14:paraId="00813A63" w14:textId="77777777" w:rsidR="00405C79" w:rsidRPr="00D20CA8" w:rsidRDefault="00405C79" w:rsidP="005C0E20">
            <w:pPr>
              <w:pStyle w:val="ListParagraph"/>
              <w:numPr>
                <w:ilvl w:val="0"/>
                <w:numId w:val="3"/>
              </w:numPr>
              <w:jc w:val="lowKashida"/>
              <w:rPr>
                <w:rFonts w:asciiTheme="majorBidi" w:hAnsiTheme="majorBidi"/>
                <w:i w:val="0"/>
                <w:iCs w:val="0"/>
                <w:sz w:val="24"/>
                <w:szCs w:val="24"/>
              </w:rPr>
            </w:pPr>
            <w:r w:rsidRPr="00D20CA8">
              <w:rPr>
                <w:rFonts w:asciiTheme="majorBidi" w:hAnsiTheme="majorBidi"/>
                <w:sz w:val="24"/>
                <w:szCs w:val="24"/>
              </w:rPr>
              <w:t>PhD</w:t>
            </w:r>
          </w:p>
        </w:tc>
        <w:tc>
          <w:tcPr>
            <w:tcW w:w="2083" w:type="dxa"/>
            <w:vAlign w:val="bottom"/>
          </w:tcPr>
          <w:p w14:paraId="78A98ABA"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4.48</w:t>
            </w:r>
          </w:p>
        </w:tc>
        <w:tc>
          <w:tcPr>
            <w:tcW w:w="3101" w:type="dxa"/>
          </w:tcPr>
          <w:p w14:paraId="1B3C0C91" w14:textId="77777777" w:rsidR="00405C79" w:rsidRPr="00D20CA8" w:rsidRDefault="00405C79" w:rsidP="005C0E20">
            <w:pPr>
              <w:pStyle w:val="ListParagraph"/>
              <w:numPr>
                <w:ilvl w:val="0"/>
                <w:numId w:val="5"/>
              </w:num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Prefer not to mention</w:t>
            </w:r>
          </w:p>
        </w:tc>
        <w:tc>
          <w:tcPr>
            <w:tcW w:w="2592" w:type="dxa"/>
          </w:tcPr>
          <w:p w14:paraId="69BAD397"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31.84</w:t>
            </w:r>
          </w:p>
        </w:tc>
      </w:tr>
      <w:tr w:rsidR="00D20CA8" w:rsidRPr="00D20CA8" w14:paraId="71CA0983" w14:textId="77777777" w:rsidTr="00A047C0">
        <w:trPr>
          <w:jc w:val="center"/>
        </w:trPr>
        <w:tc>
          <w:tcPr>
            <w:cnfStyle w:val="001000000000" w:firstRow="0" w:lastRow="0" w:firstColumn="1" w:lastColumn="0" w:oddVBand="0" w:evenVBand="0" w:oddHBand="0" w:evenHBand="0" w:firstRowFirstColumn="0" w:firstRowLastColumn="0" w:lastRowFirstColumn="0" w:lastRowLastColumn="0"/>
            <w:tcW w:w="2592" w:type="dxa"/>
          </w:tcPr>
          <w:p w14:paraId="1D7D2EB9" w14:textId="77777777" w:rsidR="00405C79" w:rsidRPr="00D20CA8" w:rsidRDefault="00405C79" w:rsidP="005C0E20">
            <w:pPr>
              <w:jc w:val="lowKashida"/>
              <w:rPr>
                <w:rFonts w:asciiTheme="majorBidi" w:hAnsiTheme="majorBidi"/>
                <w:b/>
                <w:bCs/>
                <w:i w:val="0"/>
                <w:iCs w:val="0"/>
                <w:sz w:val="24"/>
                <w:szCs w:val="24"/>
              </w:rPr>
            </w:pPr>
            <w:r w:rsidRPr="00D20CA8">
              <w:rPr>
                <w:rFonts w:asciiTheme="majorBidi" w:hAnsiTheme="majorBidi"/>
                <w:b/>
                <w:bCs/>
                <w:sz w:val="24"/>
                <w:szCs w:val="24"/>
              </w:rPr>
              <w:t>Age</w:t>
            </w:r>
          </w:p>
        </w:tc>
        <w:tc>
          <w:tcPr>
            <w:tcW w:w="2083" w:type="dxa"/>
          </w:tcPr>
          <w:p w14:paraId="66761FE9"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3101" w:type="dxa"/>
          </w:tcPr>
          <w:p w14:paraId="5CB30A08"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D20CA8">
              <w:rPr>
                <w:rFonts w:asciiTheme="majorBidi" w:hAnsiTheme="majorBidi" w:cstheme="majorBidi"/>
                <w:b/>
                <w:bCs/>
                <w:sz w:val="24"/>
                <w:szCs w:val="24"/>
              </w:rPr>
              <w:t>Employment</w:t>
            </w:r>
          </w:p>
        </w:tc>
        <w:tc>
          <w:tcPr>
            <w:tcW w:w="2592" w:type="dxa"/>
          </w:tcPr>
          <w:p w14:paraId="5B94AD52"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D20CA8" w:rsidRPr="00D20CA8" w14:paraId="3AE31043" w14:textId="77777777" w:rsidTr="00A047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2" w:type="dxa"/>
          </w:tcPr>
          <w:p w14:paraId="6EDBE7EA" w14:textId="77777777" w:rsidR="00405C79" w:rsidRPr="00D20CA8" w:rsidRDefault="00405C79" w:rsidP="005C0E20">
            <w:pPr>
              <w:pStyle w:val="ListParagraph"/>
              <w:numPr>
                <w:ilvl w:val="0"/>
                <w:numId w:val="4"/>
              </w:numPr>
              <w:jc w:val="lowKashida"/>
              <w:rPr>
                <w:rFonts w:asciiTheme="majorBidi" w:hAnsiTheme="majorBidi"/>
                <w:i w:val="0"/>
                <w:iCs w:val="0"/>
                <w:sz w:val="24"/>
                <w:szCs w:val="24"/>
              </w:rPr>
            </w:pPr>
            <w:r w:rsidRPr="00D20CA8">
              <w:rPr>
                <w:rFonts w:asciiTheme="majorBidi" w:hAnsiTheme="majorBidi"/>
                <w:sz w:val="24"/>
                <w:szCs w:val="24"/>
              </w:rPr>
              <w:t>Less than 20</w:t>
            </w:r>
          </w:p>
        </w:tc>
        <w:tc>
          <w:tcPr>
            <w:tcW w:w="2083" w:type="dxa"/>
          </w:tcPr>
          <w:p w14:paraId="055CE9A2"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2.74</w:t>
            </w:r>
          </w:p>
        </w:tc>
        <w:tc>
          <w:tcPr>
            <w:tcW w:w="3101" w:type="dxa"/>
          </w:tcPr>
          <w:p w14:paraId="587B9570" w14:textId="77777777" w:rsidR="00405C79" w:rsidRPr="00D20CA8" w:rsidRDefault="00405C79" w:rsidP="005C0E20">
            <w:pPr>
              <w:pStyle w:val="ListParagraph"/>
              <w:numPr>
                <w:ilvl w:val="0"/>
                <w:numId w:val="6"/>
              </w:num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Education/ Research</w:t>
            </w:r>
          </w:p>
        </w:tc>
        <w:tc>
          <w:tcPr>
            <w:tcW w:w="2592" w:type="dxa"/>
          </w:tcPr>
          <w:p w14:paraId="1820BC43"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28.61</w:t>
            </w:r>
          </w:p>
        </w:tc>
      </w:tr>
      <w:tr w:rsidR="00D20CA8" w:rsidRPr="00D20CA8" w14:paraId="2C2A0173" w14:textId="77777777" w:rsidTr="00A047C0">
        <w:trPr>
          <w:jc w:val="center"/>
        </w:trPr>
        <w:tc>
          <w:tcPr>
            <w:cnfStyle w:val="001000000000" w:firstRow="0" w:lastRow="0" w:firstColumn="1" w:lastColumn="0" w:oddVBand="0" w:evenVBand="0" w:oddHBand="0" w:evenHBand="0" w:firstRowFirstColumn="0" w:firstRowLastColumn="0" w:lastRowFirstColumn="0" w:lastRowLastColumn="0"/>
            <w:tcW w:w="2592" w:type="dxa"/>
          </w:tcPr>
          <w:p w14:paraId="33F39D7A" w14:textId="77777777" w:rsidR="00405C79" w:rsidRPr="00D20CA8" w:rsidRDefault="00405C79" w:rsidP="005C0E20">
            <w:pPr>
              <w:pStyle w:val="ListParagraph"/>
              <w:numPr>
                <w:ilvl w:val="0"/>
                <w:numId w:val="4"/>
              </w:numPr>
              <w:jc w:val="lowKashida"/>
              <w:rPr>
                <w:rFonts w:asciiTheme="majorBidi" w:hAnsiTheme="majorBidi"/>
                <w:i w:val="0"/>
                <w:iCs w:val="0"/>
                <w:sz w:val="24"/>
                <w:szCs w:val="24"/>
              </w:rPr>
            </w:pPr>
            <w:r w:rsidRPr="00D20CA8">
              <w:rPr>
                <w:rFonts w:asciiTheme="majorBidi" w:hAnsiTheme="majorBidi"/>
                <w:sz w:val="24"/>
                <w:szCs w:val="24"/>
              </w:rPr>
              <w:t>20 years to 30 years</w:t>
            </w:r>
          </w:p>
        </w:tc>
        <w:tc>
          <w:tcPr>
            <w:tcW w:w="2083" w:type="dxa"/>
          </w:tcPr>
          <w:p w14:paraId="23ED2192"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34.58</w:t>
            </w:r>
          </w:p>
        </w:tc>
        <w:tc>
          <w:tcPr>
            <w:tcW w:w="3101" w:type="dxa"/>
          </w:tcPr>
          <w:p w14:paraId="5B2DA61E" w14:textId="77777777" w:rsidR="00405C79" w:rsidRPr="00D20CA8" w:rsidRDefault="00405C79" w:rsidP="005C0E20">
            <w:pPr>
              <w:pStyle w:val="ListParagraph"/>
              <w:numPr>
                <w:ilvl w:val="0"/>
                <w:numId w:val="6"/>
              </w:num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Health Science professional</w:t>
            </w:r>
          </w:p>
        </w:tc>
        <w:tc>
          <w:tcPr>
            <w:tcW w:w="2592" w:type="dxa"/>
          </w:tcPr>
          <w:p w14:paraId="014AC311"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15.17</w:t>
            </w:r>
          </w:p>
        </w:tc>
      </w:tr>
      <w:tr w:rsidR="00D20CA8" w:rsidRPr="00D20CA8" w14:paraId="6F8A7D57" w14:textId="77777777" w:rsidTr="00A047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2" w:type="dxa"/>
          </w:tcPr>
          <w:p w14:paraId="62865AF0" w14:textId="77777777" w:rsidR="00405C79" w:rsidRPr="00D20CA8" w:rsidRDefault="00405C79" w:rsidP="005C0E20">
            <w:pPr>
              <w:pStyle w:val="ListParagraph"/>
              <w:numPr>
                <w:ilvl w:val="0"/>
                <w:numId w:val="4"/>
              </w:numPr>
              <w:jc w:val="lowKashida"/>
              <w:rPr>
                <w:rFonts w:asciiTheme="majorBidi" w:hAnsiTheme="majorBidi"/>
                <w:i w:val="0"/>
                <w:iCs w:val="0"/>
                <w:sz w:val="24"/>
                <w:szCs w:val="24"/>
              </w:rPr>
            </w:pPr>
            <w:r w:rsidRPr="00D20CA8">
              <w:rPr>
                <w:rFonts w:asciiTheme="majorBidi" w:hAnsiTheme="majorBidi"/>
                <w:sz w:val="24"/>
                <w:szCs w:val="24"/>
              </w:rPr>
              <w:lastRenderedPageBreak/>
              <w:t>31 years to 40 years</w:t>
            </w:r>
          </w:p>
        </w:tc>
        <w:tc>
          <w:tcPr>
            <w:tcW w:w="2083" w:type="dxa"/>
          </w:tcPr>
          <w:p w14:paraId="575B9D70"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46.27</w:t>
            </w:r>
          </w:p>
        </w:tc>
        <w:tc>
          <w:tcPr>
            <w:tcW w:w="3101" w:type="dxa"/>
          </w:tcPr>
          <w:p w14:paraId="70B3B796" w14:textId="77777777" w:rsidR="00405C79" w:rsidRPr="00D20CA8" w:rsidRDefault="00405C79" w:rsidP="005C0E20">
            <w:pPr>
              <w:pStyle w:val="ListParagraph"/>
              <w:numPr>
                <w:ilvl w:val="0"/>
                <w:numId w:val="6"/>
              </w:num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Engineering/IT</w:t>
            </w:r>
          </w:p>
        </w:tc>
        <w:tc>
          <w:tcPr>
            <w:tcW w:w="2592" w:type="dxa"/>
          </w:tcPr>
          <w:p w14:paraId="3996F6E5"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29.60</w:t>
            </w:r>
          </w:p>
        </w:tc>
      </w:tr>
      <w:tr w:rsidR="00D20CA8" w:rsidRPr="00D20CA8" w14:paraId="70F68C69" w14:textId="77777777" w:rsidTr="00A047C0">
        <w:trPr>
          <w:jc w:val="center"/>
        </w:trPr>
        <w:tc>
          <w:tcPr>
            <w:cnfStyle w:val="001000000000" w:firstRow="0" w:lastRow="0" w:firstColumn="1" w:lastColumn="0" w:oddVBand="0" w:evenVBand="0" w:oddHBand="0" w:evenHBand="0" w:firstRowFirstColumn="0" w:firstRowLastColumn="0" w:lastRowFirstColumn="0" w:lastRowLastColumn="0"/>
            <w:tcW w:w="2592" w:type="dxa"/>
          </w:tcPr>
          <w:p w14:paraId="2EF75DC1" w14:textId="77777777" w:rsidR="00405C79" w:rsidRPr="00D20CA8" w:rsidRDefault="00405C79" w:rsidP="005C0E20">
            <w:pPr>
              <w:pStyle w:val="ListParagraph"/>
              <w:numPr>
                <w:ilvl w:val="0"/>
                <w:numId w:val="4"/>
              </w:numPr>
              <w:jc w:val="lowKashida"/>
              <w:rPr>
                <w:rFonts w:asciiTheme="majorBidi" w:hAnsiTheme="majorBidi"/>
                <w:i w:val="0"/>
                <w:iCs w:val="0"/>
                <w:sz w:val="24"/>
                <w:szCs w:val="24"/>
              </w:rPr>
            </w:pPr>
            <w:r w:rsidRPr="00D20CA8">
              <w:rPr>
                <w:rFonts w:asciiTheme="majorBidi" w:hAnsiTheme="majorBidi"/>
                <w:sz w:val="24"/>
                <w:szCs w:val="24"/>
              </w:rPr>
              <w:t>41 years to 50 years</w:t>
            </w:r>
          </w:p>
        </w:tc>
        <w:tc>
          <w:tcPr>
            <w:tcW w:w="2083" w:type="dxa"/>
          </w:tcPr>
          <w:p w14:paraId="62D4855C"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14.68</w:t>
            </w:r>
          </w:p>
        </w:tc>
        <w:tc>
          <w:tcPr>
            <w:tcW w:w="3101" w:type="dxa"/>
          </w:tcPr>
          <w:p w14:paraId="0E0D08DF" w14:textId="77777777" w:rsidR="00405C79" w:rsidRPr="00D20CA8" w:rsidRDefault="00405C79" w:rsidP="005C0E20">
            <w:pPr>
              <w:pStyle w:val="ListParagraph"/>
              <w:numPr>
                <w:ilvl w:val="0"/>
                <w:numId w:val="6"/>
              </w:num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Business owner/ partner</w:t>
            </w:r>
          </w:p>
        </w:tc>
        <w:tc>
          <w:tcPr>
            <w:tcW w:w="2592" w:type="dxa"/>
          </w:tcPr>
          <w:p w14:paraId="2519FC73"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13.18</w:t>
            </w:r>
          </w:p>
        </w:tc>
      </w:tr>
      <w:tr w:rsidR="00D20CA8" w:rsidRPr="00D20CA8" w14:paraId="0203F5F6" w14:textId="77777777" w:rsidTr="00A047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2" w:type="dxa"/>
          </w:tcPr>
          <w:p w14:paraId="3D7580AC" w14:textId="77777777" w:rsidR="00405C79" w:rsidRPr="00D20CA8" w:rsidRDefault="00405C79" w:rsidP="005C0E20">
            <w:pPr>
              <w:pStyle w:val="ListParagraph"/>
              <w:numPr>
                <w:ilvl w:val="0"/>
                <w:numId w:val="4"/>
              </w:numPr>
              <w:jc w:val="lowKashida"/>
              <w:rPr>
                <w:rFonts w:asciiTheme="majorBidi" w:hAnsiTheme="majorBidi"/>
                <w:i w:val="0"/>
                <w:iCs w:val="0"/>
                <w:sz w:val="24"/>
                <w:szCs w:val="24"/>
              </w:rPr>
            </w:pPr>
            <w:r w:rsidRPr="00D20CA8">
              <w:rPr>
                <w:rFonts w:asciiTheme="majorBidi" w:hAnsiTheme="majorBidi"/>
                <w:sz w:val="24"/>
                <w:szCs w:val="24"/>
              </w:rPr>
              <w:t>51 years to 60 years</w:t>
            </w:r>
          </w:p>
        </w:tc>
        <w:tc>
          <w:tcPr>
            <w:tcW w:w="2083" w:type="dxa"/>
          </w:tcPr>
          <w:p w14:paraId="5FD608F2"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0.75</w:t>
            </w:r>
          </w:p>
        </w:tc>
        <w:tc>
          <w:tcPr>
            <w:tcW w:w="3101" w:type="dxa"/>
          </w:tcPr>
          <w:p w14:paraId="31220A2D" w14:textId="77777777" w:rsidR="00405C79" w:rsidRPr="00D20CA8" w:rsidRDefault="00405C79" w:rsidP="005C0E20">
            <w:pPr>
              <w:pStyle w:val="ListParagraph"/>
              <w:numPr>
                <w:ilvl w:val="0"/>
                <w:numId w:val="6"/>
              </w:num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Student (not working)</w:t>
            </w:r>
          </w:p>
        </w:tc>
        <w:tc>
          <w:tcPr>
            <w:tcW w:w="2592" w:type="dxa"/>
          </w:tcPr>
          <w:p w14:paraId="01ED2729"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7.71</w:t>
            </w:r>
          </w:p>
        </w:tc>
      </w:tr>
      <w:tr w:rsidR="00D20CA8" w:rsidRPr="00D20CA8" w14:paraId="5D86AF1F" w14:textId="77777777" w:rsidTr="00A047C0">
        <w:trPr>
          <w:trHeight w:val="36"/>
          <w:jc w:val="center"/>
        </w:trPr>
        <w:tc>
          <w:tcPr>
            <w:cnfStyle w:val="001000000000" w:firstRow="0" w:lastRow="0" w:firstColumn="1" w:lastColumn="0" w:oddVBand="0" w:evenVBand="0" w:oddHBand="0" w:evenHBand="0" w:firstRowFirstColumn="0" w:firstRowLastColumn="0" w:lastRowFirstColumn="0" w:lastRowLastColumn="0"/>
            <w:tcW w:w="2592" w:type="dxa"/>
          </w:tcPr>
          <w:p w14:paraId="6CFF9C55" w14:textId="77777777" w:rsidR="00405C79" w:rsidRPr="00D20CA8" w:rsidRDefault="00405C79" w:rsidP="005C0E20">
            <w:pPr>
              <w:pStyle w:val="ListParagraph"/>
              <w:numPr>
                <w:ilvl w:val="0"/>
                <w:numId w:val="4"/>
              </w:numPr>
              <w:jc w:val="lowKashida"/>
              <w:rPr>
                <w:rFonts w:asciiTheme="majorBidi" w:hAnsiTheme="majorBidi"/>
                <w:i w:val="0"/>
                <w:iCs w:val="0"/>
                <w:sz w:val="24"/>
                <w:szCs w:val="24"/>
              </w:rPr>
            </w:pPr>
            <w:r w:rsidRPr="00D20CA8">
              <w:rPr>
                <w:rFonts w:asciiTheme="majorBidi" w:hAnsiTheme="majorBidi"/>
                <w:sz w:val="24"/>
                <w:szCs w:val="24"/>
              </w:rPr>
              <w:t>Above 60 years</w:t>
            </w:r>
          </w:p>
        </w:tc>
        <w:tc>
          <w:tcPr>
            <w:tcW w:w="2083" w:type="dxa"/>
          </w:tcPr>
          <w:p w14:paraId="251D6209"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1.0</w:t>
            </w:r>
          </w:p>
        </w:tc>
        <w:tc>
          <w:tcPr>
            <w:tcW w:w="3101" w:type="dxa"/>
          </w:tcPr>
          <w:p w14:paraId="7346BA86" w14:textId="77777777" w:rsidR="00405C79" w:rsidRPr="00D20CA8" w:rsidRDefault="00405C79" w:rsidP="005C0E20">
            <w:pPr>
              <w:pStyle w:val="ListParagraph"/>
              <w:numPr>
                <w:ilvl w:val="0"/>
                <w:numId w:val="6"/>
              </w:num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Other job</w:t>
            </w:r>
          </w:p>
        </w:tc>
        <w:tc>
          <w:tcPr>
            <w:tcW w:w="2592" w:type="dxa"/>
          </w:tcPr>
          <w:p w14:paraId="7B6E9CEA"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5.72</w:t>
            </w:r>
          </w:p>
        </w:tc>
      </w:tr>
    </w:tbl>
    <w:p w14:paraId="37DB30AB" w14:textId="77777777" w:rsidR="00F3717D" w:rsidRPr="00D20CA8" w:rsidRDefault="00F3717D" w:rsidP="005C0E20">
      <w:pPr>
        <w:jc w:val="lowKashida"/>
        <w:rPr>
          <w:rFonts w:asciiTheme="majorBidi" w:hAnsiTheme="majorBidi" w:cstheme="majorBidi"/>
          <w:sz w:val="24"/>
          <w:szCs w:val="24"/>
        </w:rPr>
      </w:pPr>
    </w:p>
    <w:p w14:paraId="7C426102" w14:textId="7C0DC0E7" w:rsidR="00900A0E" w:rsidRPr="00D20CA8" w:rsidRDefault="00F3717D" w:rsidP="005C0E20">
      <w:pPr>
        <w:jc w:val="lowKashida"/>
        <w:rPr>
          <w:rFonts w:asciiTheme="majorBidi" w:hAnsiTheme="majorBidi" w:cstheme="majorBidi"/>
          <w:sz w:val="24"/>
          <w:szCs w:val="24"/>
        </w:rPr>
      </w:pPr>
      <w:r w:rsidRPr="00D20CA8">
        <w:rPr>
          <w:rFonts w:asciiTheme="majorBidi" w:hAnsiTheme="majorBidi" w:cstheme="majorBidi"/>
          <w:sz w:val="24"/>
          <w:szCs w:val="24"/>
        </w:rPr>
        <w:t>4.2</w:t>
      </w:r>
      <w:r w:rsidRPr="00D20CA8">
        <w:rPr>
          <w:rFonts w:asciiTheme="majorBidi" w:hAnsiTheme="majorBidi" w:cstheme="majorBidi"/>
          <w:sz w:val="24"/>
          <w:szCs w:val="24"/>
        </w:rPr>
        <w:tab/>
      </w:r>
      <w:r w:rsidR="00900A0E" w:rsidRPr="00D20CA8">
        <w:rPr>
          <w:rFonts w:asciiTheme="majorBidi" w:hAnsiTheme="majorBidi" w:cstheme="majorBidi"/>
          <w:sz w:val="24"/>
          <w:szCs w:val="24"/>
        </w:rPr>
        <w:t>Regression Results</w:t>
      </w:r>
    </w:p>
    <w:p w14:paraId="56EEB951" w14:textId="7777777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In this sub-section, we present the regression estimates to see the effect of awareness and education on consumers' participation in CE. Table 3 describes the descriptive statistics of the dependent and explanatory variables included in the regression. </w:t>
      </w:r>
    </w:p>
    <w:p w14:paraId="1F483530" w14:textId="7777777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Table 3: regression variables: descriptive statistics</w:t>
      </w:r>
    </w:p>
    <w:tbl>
      <w:tblPr>
        <w:tblStyle w:val="PlainTable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250"/>
        <w:gridCol w:w="1748"/>
      </w:tblGrid>
      <w:tr w:rsidR="00D20CA8" w:rsidRPr="00D20CA8" w14:paraId="727D30FC" w14:textId="77777777" w:rsidTr="00A047C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605" w:type="dxa"/>
          </w:tcPr>
          <w:p w14:paraId="6AA3EA05" w14:textId="77777777" w:rsidR="00405C79" w:rsidRPr="00D20CA8" w:rsidRDefault="00405C79" w:rsidP="005C0E20">
            <w:pPr>
              <w:jc w:val="lowKashida"/>
              <w:rPr>
                <w:rFonts w:asciiTheme="majorBidi" w:hAnsiTheme="majorBidi"/>
                <w:i w:val="0"/>
                <w:iCs w:val="0"/>
                <w:sz w:val="24"/>
                <w:szCs w:val="24"/>
              </w:rPr>
            </w:pPr>
            <w:r w:rsidRPr="00D20CA8">
              <w:rPr>
                <w:rFonts w:asciiTheme="majorBidi" w:hAnsiTheme="majorBidi"/>
                <w:sz w:val="24"/>
                <w:szCs w:val="24"/>
              </w:rPr>
              <w:t>Characteristics N=402</w:t>
            </w:r>
          </w:p>
        </w:tc>
        <w:tc>
          <w:tcPr>
            <w:tcW w:w="2250" w:type="dxa"/>
          </w:tcPr>
          <w:p w14:paraId="2D55A46C" w14:textId="77777777" w:rsidR="00405C79" w:rsidRPr="00D20CA8" w:rsidRDefault="00405C79" w:rsidP="005C0E20">
            <w:pPr>
              <w:jc w:val="lowKashida"/>
              <w:cnfStyle w:val="100000000000" w:firstRow="1" w:lastRow="0" w:firstColumn="0" w:lastColumn="0" w:oddVBand="0" w:evenVBand="0" w:oddHBand="0" w:evenHBand="0" w:firstRowFirstColumn="0" w:firstRowLastColumn="0" w:lastRowFirstColumn="0" w:lastRowLastColumn="0"/>
              <w:rPr>
                <w:rFonts w:asciiTheme="majorBidi" w:hAnsiTheme="majorBidi"/>
                <w:i w:val="0"/>
                <w:iCs w:val="0"/>
                <w:sz w:val="24"/>
                <w:szCs w:val="24"/>
              </w:rPr>
            </w:pPr>
            <w:r w:rsidRPr="00D20CA8">
              <w:rPr>
                <w:rFonts w:asciiTheme="majorBidi" w:hAnsiTheme="majorBidi"/>
                <w:sz w:val="24"/>
                <w:szCs w:val="24"/>
              </w:rPr>
              <w:t>Frequency</w:t>
            </w:r>
          </w:p>
        </w:tc>
        <w:tc>
          <w:tcPr>
            <w:tcW w:w="1748" w:type="dxa"/>
          </w:tcPr>
          <w:p w14:paraId="49919E92" w14:textId="77777777" w:rsidR="00405C79" w:rsidRPr="00D20CA8" w:rsidRDefault="00405C79" w:rsidP="005C0E20">
            <w:pPr>
              <w:jc w:val="lowKashida"/>
              <w:cnfStyle w:val="100000000000" w:firstRow="1" w:lastRow="0" w:firstColumn="0" w:lastColumn="0" w:oddVBand="0" w:evenVBand="0" w:oddHBand="0" w:evenHBand="0" w:firstRowFirstColumn="0" w:firstRowLastColumn="0" w:lastRowFirstColumn="0" w:lastRowLastColumn="0"/>
              <w:rPr>
                <w:rFonts w:asciiTheme="majorBidi" w:hAnsiTheme="majorBidi"/>
                <w:i w:val="0"/>
                <w:iCs w:val="0"/>
                <w:sz w:val="24"/>
                <w:szCs w:val="24"/>
              </w:rPr>
            </w:pPr>
            <w:r w:rsidRPr="00D20CA8">
              <w:rPr>
                <w:rFonts w:asciiTheme="majorBidi" w:hAnsiTheme="majorBidi"/>
                <w:sz w:val="24"/>
                <w:szCs w:val="24"/>
              </w:rPr>
              <w:t>Percentage</w:t>
            </w:r>
          </w:p>
        </w:tc>
      </w:tr>
      <w:tr w:rsidR="00D20CA8" w:rsidRPr="00D20CA8" w14:paraId="255B691A" w14:textId="77777777" w:rsidTr="00A047C0">
        <w:trPr>
          <w:cnfStyle w:val="000000100000" w:firstRow="0" w:lastRow="0" w:firstColumn="0" w:lastColumn="0" w:oddVBand="0" w:evenVBand="0" w:oddHBand="1" w:evenHBand="0" w:firstRowFirstColumn="0" w:firstRowLastColumn="0" w:lastRowFirstColumn="0" w:lastRowLastColumn="0"/>
          <w:trHeight w:val="191"/>
          <w:jc w:val="center"/>
        </w:trPr>
        <w:tc>
          <w:tcPr>
            <w:cnfStyle w:val="001000000000" w:firstRow="0" w:lastRow="0" w:firstColumn="1" w:lastColumn="0" w:oddVBand="0" w:evenVBand="0" w:oddHBand="0" w:evenHBand="0" w:firstRowFirstColumn="0" w:firstRowLastColumn="0" w:lastRowFirstColumn="0" w:lastRowLastColumn="0"/>
            <w:tcW w:w="6603" w:type="dxa"/>
            <w:gridSpan w:val="3"/>
          </w:tcPr>
          <w:p w14:paraId="47CD2D9B" w14:textId="77777777" w:rsidR="00405C79" w:rsidRPr="00D20CA8" w:rsidRDefault="00405C79" w:rsidP="005C0E20">
            <w:pPr>
              <w:jc w:val="lowKashida"/>
              <w:rPr>
                <w:rFonts w:asciiTheme="majorBidi" w:hAnsiTheme="majorBidi"/>
                <w:sz w:val="24"/>
                <w:szCs w:val="24"/>
              </w:rPr>
            </w:pPr>
            <w:r w:rsidRPr="00D20CA8">
              <w:rPr>
                <w:rFonts w:asciiTheme="majorBidi" w:hAnsiTheme="majorBidi"/>
                <w:sz w:val="24"/>
                <w:szCs w:val="24"/>
              </w:rPr>
              <w:t>Participation</w:t>
            </w:r>
          </w:p>
        </w:tc>
      </w:tr>
      <w:tr w:rsidR="00D20CA8" w:rsidRPr="00D20CA8" w14:paraId="4AB546CC" w14:textId="77777777" w:rsidTr="00A047C0">
        <w:trPr>
          <w:jc w:val="center"/>
        </w:trPr>
        <w:tc>
          <w:tcPr>
            <w:cnfStyle w:val="001000000000" w:firstRow="0" w:lastRow="0" w:firstColumn="1" w:lastColumn="0" w:oddVBand="0" w:evenVBand="0" w:oddHBand="0" w:evenHBand="0" w:firstRowFirstColumn="0" w:firstRowLastColumn="0" w:lastRowFirstColumn="0" w:lastRowLastColumn="0"/>
            <w:tcW w:w="2605" w:type="dxa"/>
          </w:tcPr>
          <w:p w14:paraId="3EDBE376" w14:textId="77777777" w:rsidR="00405C79" w:rsidRPr="00D20CA8" w:rsidRDefault="00405C79" w:rsidP="005C0E20">
            <w:pPr>
              <w:jc w:val="lowKashida"/>
              <w:rPr>
                <w:rFonts w:asciiTheme="majorBidi" w:hAnsiTheme="majorBidi"/>
                <w:sz w:val="24"/>
                <w:szCs w:val="24"/>
              </w:rPr>
            </w:pPr>
            <w:r w:rsidRPr="00D20CA8">
              <w:rPr>
                <w:rFonts w:asciiTheme="majorBidi" w:hAnsiTheme="majorBidi"/>
                <w:sz w:val="24"/>
                <w:szCs w:val="24"/>
              </w:rPr>
              <w:t>Yes</w:t>
            </w:r>
          </w:p>
        </w:tc>
        <w:tc>
          <w:tcPr>
            <w:tcW w:w="2250" w:type="dxa"/>
          </w:tcPr>
          <w:p w14:paraId="14B1F79E"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304</w:t>
            </w:r>
          </w:p>
        </w:tc>
        <w:tc>
          <w:tcPr>
            <w:tcW w:w="1748" w:type="dxa"/>
          </w:tcPr>
          <w:p w14:paraId="0A752266"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75.63</w:t>
            </w:r>
          </w:p>
        </w:tc>
      </w:tr>
      <w:tr w:rsidR="00D20CA8" w:rsidRPr="00D20CA8" w14:paraId="7940003D" w14:textId="77777777" w:rsidTr="00A047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14:paraId="2769CC3D" w14:textId="77777777" w:rsidR="00405C79" w:rsidRPr="00D20CA8" w:rsidRDefault="00405C79" w:rsidP="005C0E20">
            <w:pPr>
              <w:jc w:val="lowKashida"/>
              <w:rPr>
                <w:rFonts w:asciiTheme="majorBidi" w:hAnsiTheme="majorBidi"/>
                <w:sz w:val="24"/>
                <w:szCs w:val="24"/>
              </w:rPr>
            </w:pPr>
            <w:r w:rsidRPr="00D20CA8">
              <w:rPr>
                <w:rFonts w:asciiTheme="majorBidi" w:hAnsiTheme="majorBidi"/>
                <w:sz w:val="24"/>
                <w:szCs w:val="24"/>
              </w:rPr>
              <w:t>No</w:t>
            </w:r>
          </w:p>
        </w:tc>
        <w:tc>
          <w:tcPr>
            <w:tcW w:w="2250" w:type="dxa"/>
          </w:tcPr>
          <w:p w14:paraId="20CD089E"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98</w:t>
            </w:r>
          </w:p>
        </w:tc>
        <w:tc>
          <w:tcPr>
            <w:tcW w:w="1748" w:type="dxa"/>
          </w:tcPr>
          <w:p w14:paraId="74D061AC"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24.38</w:t>
            </w:r>
          </w:p>
        </w:tc>
      </w:tr>
      <w:tr w:rsidR="00D20CA8" w:rsidRPr="00D20CA8" w14:paraId="2B7C3B0A" w14:textId="77777777" w:rsidTr="00A047C0">
        <w:trPr>
          <w:jc w:val="center"/>
        </w:trPr>
        <w:tc>
          <w:tcPr>
            <w:cnfStyle w:val="001000000000" w:firstRow="0" w:lastRow="0" w:firstColumn="1" w:lastColumn="0" w:oddVBand="0" w:evenVBand="0" w:oddHBand="0" w:evenHBand="0" w:firstRowFirstColumn="0" w:firstRowLastColumn="0" w:lastRowFirstColumn="0" w:lastRowLastColumn="0"/>
            <w:tcW w:w="6603" w:type="dxa"/>
            <w:gridSpan w:val="3"/>
          </w:tcPr>
          <w:p w14:paraId="27560EA3" w14:textId="77777777" w:rsidR="00405C79" w:rsidRPr="00D20CA8" w:rsidRDefault="00405C79" w:rsidP="005C0E20">
            <w:pPr>
              <w:jc w:val="lowKashida"/>
              <w:rPr>
                <w:rFonts w:asciiTheme="majorBidi" w:hAnsiTheme="majorBidi"/>
                <w:sz w:val="24"/>
                <w:szCs w:val="24"/>
              </w:rPr>
            </w:pPr>
            <w:r w:rsidRPr="00D20CA8">
              <w:rPr>
                <w:rFonts w:asciiTheme="majorBidi" w:hAnsiTheme="majorBidi"/>
                <w:sz w:val="24"/>
                <w:szCs w:val="24"/>
              </w:rPr>
              <w:t>Knowledge of CE</w:t>
            </w:r>
          </w:p>
        </w:tc>
      </w:tr>
      <w:tr w:rsidR="00D20CA8" w:rsidRPr="00D20CA8" w14:paraId="61CEF7C0" w14:textId="77777777" w:rsidTr="00A047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14:paraId="57F1AE78" w14:textId="77777777" w:rsidR="00405C79" w:rsidRPr="00D20CA8" w:rsidRDefault="00405C79" w:rsidP="005C0E20">
            <w:pPr>
              <w:jc w:val="lowKashida"/>
              <w:rPr>
                <w:rFonts w:asciiTheme="majorBidi" w:hAnsiTheme="majorBidi"/>
                <w:sz w:val="24"/>
                <w:szCs w:val="24"/>
              </w:rPr>
            </w:pPr>
            <w:r w:rsidRPr="00D20CA8">
              <w:rPr>
                <w:rFonts w:asciiTheme="majorBidi" w:hAnsiTheme="majorBidi"/>
                <w:sz w:val="24"/>
                <w:szCs w:val="24"/>
              </w:rPr>
              <w:t>Yes</w:t>
            </w:r>
          </w:p>
        </w:tc>
        <w:tc>
          <w:tcPr>
            <w:tcW w:w="2250" w:type="dxa"/>
            <w:vAlign w:val="bottom"/>
          </w:tcPr>
          <w:p w14:paraId="6DBF2881"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166</w:t>
            </w:r>
          </w:p>
        </w:tc>
        <w:tc>
          <w:tcPr>
            <w:tcW w:w="1748" w:type="dxa"/>
          </w:tcPr>
          <w:p w14:paraId="5981C0D1"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41.29</w:t>
            </w:r>
          </w:p>
        </w:tc>
      </w:tr>
      <w:tr w:rsidR="00D20CA8" w:rsidRPr="00D20CA8" w14:paraId="1A2540C1" w14:textId="77777777" w:rsidTr="00A047C0">
        <w:trPr>
          <w:jc w:val="center"/>
        </w:trPr>
        <w:tc>
          <w:tcPr>
            <w:cnfStyle w:val="001000000000" w:firstRow="0" w:lastRow="0" w:firstColumn="1" w:lastColumn="0" w:oddVBand="0" w:evenVBand="0" w:oddHBand="0" w:evenHBand="0" w:firstRowFirstColumn="0" w:firstRowLastColumn="0" w:lastRowFirstColumn="0" w:lastRowLastColumn="0"/>
            <w:tcW w:w="2605" w:type="dxa"/>
          </w:tcPr>
          <w:p w14:paraId="5C037B2E" w14:textId="77777777" w:rsidR="00405C79" w:rsidRPr="00D20CA8" w:rsidRDefault="00405C79" w:rsidP="005C0E20">
            <w:pPr>
              <w:jc w:val="lowKashida"/>
              <w:rPr>
                <w:rFonts w:asciiTheme="majorBidi" w:hAnsiTheme="majorBidi"/>
                <w:sz w:val="24"/>
                <w:szCs w:val="24"/>
              </w:rPr>
            </w:pPr>
            <w:r w:rsidRPr="00D20CA8">
              <w:rPr>
                <w:rFonts w:asciiTheme="majorBidi" w:hAnsiTheme="majorBidi"/>
                <w:sz w:val="24"/>
                <w:szCs w:val="24"/>
              </w:rPr>
              <w:t>No</w:t>
            </w:r>
          </w:p>
        </w:tc>
        <w:tc>
          <w:tcPr>
            <w:tcW w:w="2250" w:type="dxa"/>
            <w:vAlign w:val="bottom"/>
          </w:tcPr>
          <w:p w14:paraId="0C998C46"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236</w:t>
            </w:r>
          </w:p>
        </w:tc>
        <w:tc>
          <w:tcPr>
            <w:tcW w:w="1748" w:type="dxa"/>
          </w:tcPr>
          <w:p w14:paraId="79A716DE"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58.71</w:t>
            </w:r>
          </w:p>
        </w:tc>
      </w:tr>
      <w:tr w:rsidR="00D20CA8" w:rsidRPr="00D20CA8" w14:paraId="726646F8" w14:textId="77777777" w:rsidTr="00A047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03" w:type="dxa"/>
            <w:gridSpan w:val="3"/>
          </w:tcPr>
          <w:p w14:paraId="2231FA91" w14:textId="77777777" w:rsidR="00405C79" w:rsidRPr="00D20CA8" w:rsidRDefault="00405C79" w:rsidP="005C0E20">
            <w:pPr>
              <w:jc w:val="lowKashida"/>
              <w:rPr>
                <w:rFonts w:asciiTheme="majorBidi" w:hAnsiTheme="majorBidi"/>
                <w:sz w:val="24"/>
                <w:szCs w:val="24"/>
              </w:rPr>
            </w:pPr>
            <w:r w:rsidRPr="00D20CA8">
              <w:rPr>
                <w:rFonts w:asciiTheme="majorBidi" w:hAnsiTheme="majorBidi"/>
                <w:sz w:val="24"/>
                <w:szCs w:val="24"/>
              </w:rPr>
              <w:t>Familiarity with consumer role</w:t>
            </w:r>
          </w:p>
        </w:tc>
      </w:tr>
      <w:tr w:rsidR="00D20CA8" w:rsidRPr="00D20CA8" w14:paraId="33715802" w14:textId="77777777" w:rsidTr="00A047C0">
        <w:trPr>
          <w:jc w:val="center"/>
        </w:trPr>
        <w:tc>
          <w:tcPr>
            <w:cnfStyle w:val="001000000000" w:firstRow="0" w:lastRow="0" w:firstColumn="1" w:lastColumn="0" w:oddVBand="0" w:evenVBand="0" w:oddHBand="0" w:evenHBand="0" w:firstRowFirstColumn="0" w:firstRowLastColumn="0" w:lastRowFirstColumn="0" w:lastRowLastColumn="0"/>
            <w:tcW w:w="2605" w:type="dxa"/>
          </w:tcPr>
          <w:p w14:paraId="58BD7E12" w14:textId="77777777" w:rsidR="00405C79" w:rsidRPr="00D20CA8" w:rsidRDefault="00405C79" w:rsidP="005C0E20">
            <w:pPr>
              <w:jc w:val="lowKashida"/>
              <w:rPr>
                <w:rFonts w:asciiTheme="majorBidi" w:hAnsiTheme="majorBidi"/>
                <w:i w:val="0"/>
                <w:iCs w:val="0"/>
                <w:sz w:val="24"/>
                <w:szCs w:val="24"/>
              </w:rPr>
            </w:pPr>
            <w:r w:rsidRPr="00D20CA8">
              <w:rPr>
                <w:rFonts w:asciiTheme="majorBidi" w:hAnsiTheme="majorBidi"/>
                <w:sz w:val="24"/>
                <w:szCs w:val="24"/>
              </w:rPr>
              <w:t>Yes</w:t>
            </w:r>
          </w:p>
        </w:tc>
        <w:tc>
          <w:tcPr>
            <w:tcW w:w="2250" w:type="dxa"/>
            <w:vAlign w:val="bottom"/>
          </w:tcPr>
          <w:p w14:paraId="789A5A9E"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378</w:t>
            </w:r>
          </w:p>
        </w:tc>
        <w:tc>
          <w:tcPr>
            <w:tcW w:w="1748" w:type="dxa"/>
          </w:tcPr>
          <w:p w14:paraId="549356AF"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94.03</w:t>
            </w:r>
          </w:p>
        </w:tc>
      </w:tr>
      <w:tr w:rsidR="00D20CA8" w:rsidRPr="00D20CA8" w14:paraId="512374B5" w14:textId="77777777" w:rsidTr="00A047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14:paraId="1E4A15CD" w14:textId="77777777" w:rsidR="00405C79" w:rsidRPr="00D20CA8" w:rsidRDefault="00405C79" w:rsidP="005C0E20">
            <w:pPr>
              <w:jc w:val="lowKashida"/>
              <w:rPr>
                <w:rFonts w:asciiTheme="majorBidi" w:hAnsiTheme="majorBidi"/>
                <w:b/>
                <w:bCs/>
                <w:i w:val="0"/>
                <w:iCs w:val="0"/>
                <w:sz w:val="24"/>
                <w:szCs w:val="24"/>
              </w:rPr>
            </w:pPr>
            <w:r w:rsidRPr="00D20CA8">
              <w:rPr>
                <w:rFonts w:asciiTheme="majorBidi" w:hAnsiTheme="majorBidi"/>
                <w:sz w:val="24"/>
                <w:szCs w:val="24"/>
              </w:rPr>
              <w:t>No</w:t>
            </w:r>
          </w:p>
        </w:tc>
        <w:tc>
          <w:tcPr>
            <w:tcW w:w="2250" w:type="dxa"/>
          </w:tcPr>
          <w:p w14:paraId="1B33217B"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24</w:t>
            </w:r>
          </w:p>
        </w:tc>
        <w:tc>
          <w:tcPr>
            <w:tcW w:w="1748" w:type="dxa"/>
          </w:tcPr>
          <w:p w14:paraId="13983484"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5.97</w:t>
            </w:r>
          </w:p>
        </w:tc>
      </w:tr>
    </w:tbl>
    <w:p w14:paraId="07FFD711" w14:textId="77777777" w:rsidR="00900A0E" w:rsidRPr="00D20CA8" w:rsidRDefault="00900A0E" w:rsidP="005C0E20">
      <w:pPr>
        <w:jc w:val="lowKashida"/>
        <w:rPr>
          <w:rFonts w:asciiTheme="majorBidi" w:hAnsiTheme="majorBidi" w:cstheme="majorBidi"/>
          <w:sz w:val="24"/>
          <w:szCs w:val="24"/>
        </w:rPr>
      </w:pPr>
    </w:p>
    <w:p w14:paraId="7CEA68E2" w14:textId="41ECDAFE"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The variable "knowledge of CE" assesses respondents' awareness of </w:t>
      </w:r>
      <w:r w:rsidR="00F436A1">
        <w:rPr>
          <w:rFonts w:asciiTheme="majorBidi" w:hAnsiTheme="majorBidi" w:cstheme="majorBidi"/>
          <w:sz w:val="24"/>
          <w:szCs w:val="24"/>
        </w:rPr>
        <w:t xml:space="preserve">the </w:t>
      </w:r>
      <w:r w:rsidRPr="00D20CA8">
        <w:rPr>
          <w:rFonts w:asciiTheme="majorBidi" w:hAnsiTheme="majorBidi" w:cstheme="majorBidi"/>
          <w:sz w:val="24"/>
          <w:szCs w:val="24"/>
        </w:rPr>
        <w:t>CE before its introduction in the questionnaire. "Familiarity with consumer role" is a binary response indicating whether consumers believe they can contribute to environmental protection through eco-friendly behaviors in Qatar.</w:t>
      </w:r>
      <w:r w:rsidR="00F436A1">
        <w:rPr>
          <w:rFonts w:asciiTheme="majorBidi" w:hAnsiTheme="majorBidi" w:cstheme="majorBidi"/>
          <w:sz w:val="24"/>
          <w:szCs w:val="24"/>
        </w:rPr>
        <w:t xml:space="preserve"> </w:t>
      </w:r>
      <w:r w:rsidRPr="00D20CA8">
        <w:rPr>
          <w:rFonts w:asciiTheme="majorBidi" w:hAnsiTheme="majorBidi" w:cstheme="majorBidi"/>
          <w:sz w:val="24"/>
          <w:szCs w:val="24"/>
        </w:rPr>
        <w:t>Table 3 reveals that approximately 59% of respondents lack knowledge of CE, while 94% are aware of consumers' role in addressing environmental issues. Only around 24% of respondents actively participate in CE. The upcoming section will delve into reasons for low participation, barriers, and the frequency of engagement in CE activities. The variable "education" is detailed in Table 2.</w:t>
      </w:r>
    </w:p>
    <w:p w14:paraId="2C9E9C39" w14:textId="7777777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Table 4. Logit model results: odd ratios</w:t>
      </w:r>
    </w:p>
    <w:tbl>
      <w:tblPr>
        <w:tblStyle w:val="PlainTable2"/>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1715"/>
        <w:gridCol w:w="2295"/>
        <w:gridCol w:w="2295"/>
      </w:tblGrid>
      <w:tr w:rsidR="00D20CA8" w:rsidRPr="00D20CA8" w14:paraId="39AA1E46" w14:textId="77777777" w:rsidTr="00405C79">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0" w:type="dxa"/>
            <w:noWrap/>
            <w:hideMark/>
          </w:tcPr>
          <w:p w14:paraId="5B55EA0C"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Participation</w:t>
            </w:r>
          </w:p>
        </w:tc>
        <w:tc>
          <w:tcPr>
            <w:tcW w:w="1710" w:type="dxa"/>
            <w:noWrap/>
            <w:hideMark/>
          </w:tcPr>
          <w:p w14:paraId="0A00BA8F" w14:textId="77777777" w:rsidR="00405C79" w:rsidRPr="00D20CA8" w:rsidRDefault="00405C79" w:rsidP="005C0E20">
            <w:pPr>
              <w:jc w:val="lowKashida"/>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Coef.</w:t>
            </w:r>
          </w:p>
        </w:tc>
        <w:tc>
          <w:tcPr>
            <w:tcW w:w="2295" w:type="dxa"/>
            <w:noWrap/>
            <w:hideMark/>
          </w:tcPr>
          <w:p w14:paraId="5901BE83" w14:textId="77777777" w:rsidR="00405C79" w:rsidRPr="00D20CA8" w:rsidRDefault="00405C79" w:rsidP="005C0E20">
            <w:pPr>
              <w:jc w:val="lowKashida"/>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95% LCI</w:t>
            </w:r>
          </w:p>
        </w:tc>
        <w:tc>
          <w:tcPr>
            <w:tcW w:w="2295" w:type="dxa"/>
            <w:noWrap/>
            <w:hideMark/>
          </w:tcPr>
          <w:p w14:paraId="32F69B21" w14:textId="77777777" w:rsidR="00405C79" w:rsidRPr="00D20CA8" w:rsidRDefault="00405C79" w:rsidP="005C0E20">
            <w:pPr>
              <w:jc w:val="lowKashida"/>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95% UCI</w:t>
            </w:r>
          </w:p>
        </w:tc>
      </w:tr>
      <w:tr w:rsidR="00D20CA8" w:rsidRPr="00D20CA8" w14:paraId="3E02810B" w14:textId="77777777" w:rsidTr="00405C7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0" w:type="dxa"/>
            <w:noWrap/>
            <w:hideMark/>
          </w:tcPr>
          <w:p w14:paraId="4E5842BD"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Edu</w:t>
            </w:r>
          </w:p>
        </w:tc>
        <w:tc>
          <w:tcPr>
            <w:tcW w:w="1710" w:type="dxa"/>
            <w:noWrap/>
            <w:hideMark/>
          </w:tcPr>
          <w:p w14:paraId="2B05284D"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295" w:type="dxa"/>
            <w:noWrap/>
            <w:hideMark/>
          </w:tcPr>
          <w:p w14:paraId="7FE7CB10"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295" w:type="dxa"/>
            <w:noWrap/>
            <w:hideMark/>
          </w:tcPr>
          <w:p w14:paraId="7A6634BF"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D20CA8" w:rsidRPr="00D20CA8" w14:paraId="4E2998EB" w14:textId="77777777" w:rsidTr="00405C79">
        <w:trPr>
          <w:trHeight w:val="144"/>
        </w:trPr>
        <w:tc>
          <w:tcPr>
            <w:cnfStyle w:val="001000000000" w:firstRow="0" w:lastRow="0" w:firstColumn="1" w:lastColumn="0" w:oddVBand="0" w:evenVBand="0" w:oddHBand="0" w:evenHBand="0" w:firstRowFirstColumn="0" w:firstRowLastColumn="0" w:lastRowFirstColumn="0" w:lastRowLastColumn="0"/>
            <w:tcW w:w="2880" w:type="dxa"/>
            <w:noWrap/>
            <w:hideMark/>
          </w:tcPr>
          <w:p w14:paraId="011D4E01"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Bachelor</w:t>
            </w:r>
          </w:p>
        </w:tc>
        <w:tc>
          <w:tcPr>
            <w:tcW w:w="1710" w:type="dxa"/>
            <w:noWrap/>
            <w:hideMark/>
          </w:tcPr>
          <w:p w14:paraId="5C462905"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3.711**</w:t>
            </w:r>
          </w:p>
          <w:p w14:paraId="0AA0888D"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(2.040)</w:t>
            </w:r>
          </w:p>
        </w:tc>
        <w:tc>
          <w:tcPr>
            <w:tcW w:w="2295" w:type="dxa"/>
            <w:noWrap/>
            <w:hideMark/>
          </w:tcPr>
          <w:p w14:paraId="4BA33F19"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0.234</w:t>
            </w:r>
          </w:p>
        </w:tc>
        <w:tc>
          <w:tcPr>
            <w:tcW w:w="2295" w:type="dxa"/>
            <w:noWrap/>
            <w:hideMark/>
          </w:tcPr>
          <w:p w14:paraId="50B86C8F"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2.389</w:t>
            </w:r>
          </w:p>
        </w:tc>
      </w:tr>
      <w:tr w:rsidR="00D20CA8" w:rsidRPr="00D20CA8" w14:paraId="0DC2B288" w14:textId="77777777" w:rsidTr="00405C7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0" w:type="dxa"/>
            <w:noWrap/>
            <w:hideMark/>
          </w:tcPr>
          <w:p w14:paraId="2CDC4996" w14:textId="77777777" w:rsidR="00405C79" w:rsidRPr="00D20CA8" w:rsidRDefault="00405C79" w:rsidP="005C0E20">
            <w:pPr>
              <w:jc w:val="lowKashida"/>
              <w:rPr>
                <w:rFonts w:asciiTheme="majorBidi" w:hAnsiTheme="majorBidi" w:cstheme="majorBidi"/>
                <w:b w:val="0"/>
                <w:bCs w:val="0"/>
                <w:sz w:val="24"/>
                <w:szCs w:val="24"/>
              </w:rPr>
            </w:pPr>
            <w:r w:rsidRPr="00D20CA8">
              <w:rPr>
                <w:rFonts w:asciiTheme="majorBidi" w:hAnsiTheme="majorBidi" w:cstheme="majorBidi"/>
                <w:sz w:val="24"/>
                <w:szCs w:val="24"/>
              </w:rPr>
              <w:t>Masters</w:t>
            </w:r>
          </w:p>
        </w:tc>
        <w:tc>
          <w:tcPr>
            <w:tcW w:w="1710" w:type="dxa"/>
            <w:noWrap/>
            <w:hideMark/>
          </w:tcPr>
          <w:p w14:paraId="19FFCDA5"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7.695***</w:t>
            </w:r>
          </w:p>
          <w:p w14:paraId="0580F7BB"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(4.472)</w:t>
            </w:r>
          </w:p>
        </w:tc>
        <w:tc>
          <w:tcPr>
            <w:tcW w:w="2295" w:type="dxa"/>
            <w:noWrap/>
            <w:hideMark/>
          </w:tcPr>
          <w:p w14:paraId="3FAC6AAB"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0.902</w:t>
            </w:r>
          </w:p>
        </w:tc>
        <w:tc>
          <w:tcPr>
            <w:tcW w:w="2295" w:type="dxa"/>
            <w:noWrap/>
            <w:hideMark/>
          </w:tcPr>
          <w:p w14:paraId="548502A1"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3.180</w:t>
            </w:r>
          </w:p>
        </w:tc>
      </w:tr>
      <w:tr w:rsidR="00D20CA8" w:rsidRPr="00D20CA8" w14:paraId="34222A04" w14:textId="77777777" w:rsidTr="00405C79">
        <w:trPr>
          <w:trHeight w:val="144"/>
        </w:trPr>
        <w:tc>
          <w:tcPr>
            <w:cnfStyle w:val="001000000000" w:firstRow="0" w:lastRow="0" w:firstColumn="1" w:lastColumn="0" w:oddVBand="0" w:evenVBand="0" w:oddHBand="0" w:evenHBand="0" w:firstRowFirstColumn="0" w:firstRowLastColumn="0" w:lastRowFirstColumn="0" w:lastRowLastColumn="0"/>
            <w:tcW w:w="2880" w:type="dxa"/>
            <w:noWrap/>
            <w:hideMark/>
          </w:tcPr>
          <w:p w14:paraId="0147CF4C" w14:textId="77777777" w:rsidR="00405C79" w:rsidRPr="00D20CA8" w:rsidRDefault="00405C79" w:rsidP="005C0E20">
            <w:pPr>
              <w:jc w:val="lowKashida"/>
              <w:rPr>
                <w:rFonts w:asciiTheme="majorBidi" w:hAnsiTheme="majorBidi" w:cstheme="majorBidi"/>
                <w:b w:val="0"/>
                <w:bCs w:val="0"/>
                <w:sz w:val="24"/>
                <w:szCs w:val="24"/>
              </w:rPr>
            </w:pPr>
            <w:r w:rsidRPr="00D20CA8">
              <w:rPr>
                <w:rFonts w:asciiTheme="majorBidi" w:hAnsiTheme="majorBidi" w:cstheme="majorBidi"/>
                <w:sz w:val="24"/>
                <w:szCs w:val="24"/>
              </w:rPr>
              <w:t>PhD</w:t>
            </w:r>
          </w:p>
        </w:tc>
        <w:tc>
          <w:tcPr>
            <w:tcW w:w="1710" w:type="dxa"/>
            <w:noWrap/>
            <w:hideMark/>
          </w:tcPr>
          <w:p w14:paraId="3AE83974"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 xml:space="preserve">5.878** </w:t>
            </w:r>
          </w:p>
          <w:p w14:paraId="79F0DC5F"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lastRenderedPageBreak/>
              <w:t>(5.020)</w:t>
            </w:r>
          </w:p>
        </w:tc>
        <w:tc>
          <w:tcPr>
            <w:tcW w:w="2295" w:type="dxa"/>
            <w:noWrap/>
            <w:hideMark/>
          </w:tcPr>
          <w:p w14:paraId="28432DE3"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lastRenderedPageBreak/>
              <w:t>0.098</w:t>
            </w:r>
          </w:p>
        </w:tc>
        <w:tc>
          <w:tcPr>
            <w:tcW w:w="2295" w:type="dxa"/>
            <w:noWrap/>
            <w:hideMark/>
          </w:tcPr>
          <w:p w14:paraId="34441D3B"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3.445</w:t>
            </w:r>
          </w:p>
        </w:tc>
      </w:tr>
      <w:tr w:rsidR="00D20CA8" w:rsidRPr="00D20CA8" w14:paraId="4C4AB790" w14:textId="77777777" w:rsidTr="00405C7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0" w:type="dxa"/>
            <w:noWrap/>
            <w:hideMark/>
          </w:tcPr>
          <w:p w14:paraId="1DB29D2B"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Knowledge of CE</w:t>
            </w:r>
          </w:p>
        </w:tc>
        <w:tc>
          <w:tcPr>
            <w:tcW w:w="1710" w:type="dxa"/>
            <w:noWrap/>
            <w:hideMark/>
          </w:tcPr>
          <w:p w14:paraId="6844398F"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2.485***</w:t>
            </w:r>
          </w:p>
          <w:p w14:paraId="1C6112F8"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(0.692)</w:t>
            </w:r>
          </w:p>
        </w:tc>
        <w:tc>
          <w:tcPr>
            <w:tcW w:w="2295" w:type="dxa"/>
            <w:noWrap/>
            <w:hideMark/>
          </w:tcPr>
          <w:p w14:paraId="53217CC6"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0.364</w:t>
            </w:r>
          </w:p>
        </w:tc>
        <w:tc>
          <w:tcPr>
            <w:tcW w:w="2295" w:type="dxa"/>
            <w:noWrap/>
            <w:hideMark/>
          </w:tcPr>
          <w:p w14:paraId="46BC991D"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1.456</w:t>
            </w:r>
          </w:p>
        </w:tc>
      </w:tr>
      <w:tr w:rsidR="00D20CA8" w:rsidRPr="00D20CA8" w14:paraId="03E42009" w14:textId="77777777" w:rsidTr="00405C79">
        <w:trPr>
          <w:trHeight w:val="144"/>
        </w:trPr>
        <w:tc>
          <w:tcPr>
            <w:cnfStyle w:val="001000000000" w:firstRow="0" w:lastRow="0" w:firstColumn="1" w:lastColumn="0" w:oddVBand="0" w:evenVBand="0" w:oddHBand="0" w:evenHBand="0" w:firstRowFirstColumn="0" w:firstRowLastColumn="0" w:lastRowFirstColumn="0" w:lastRowLastColumn="0"/>
            <w:tcW w:w="2880" w:type="dxa"/>
            <w:noWrap/>
            <w:hideMark/>
          </w:tcPr>
          <w:p w14:paraId="6970FAD5" w14:textId="77777777" w:rsidR="00405C79" w:rsidRPr="00D20CA8" w:rsidRDefault="00405C79" w:rsidP="005C0E20">
            <w:pPr>
              <w:jc w:val="lowKashida"/>
              <w:rPr>
                <w:rFonts w:asciiTheme="majorBidi" w:hAnsiTheme="majorBidi" w:cstheme="majorBidi"/>
                <w:b w:val="0"/>
                <w:bCs w:val="0"/>
                <w:sz w:val="24"/>
                <w:szCs w:val="24"/>
              </w:rPr>
            </w:pPr>
            <w:r w:rsidRPr="00D20CA8">
              <w:rPr>
                <w:rFonts w:asciiTheme="majorBidi" w:hAnsiTheme="majorBidi" w:cstheme="majorBidi"/>
                <w:sz w:val="24"/>
                <w:szCs w:val="24"/>
              </w:rPr>
              <w:t>Familiarity with consumer role</w:t>
            </w:r>
          </w:p>
        </w:tc>
        <w:tc>
          <w:tcPr>
            <w:tcW w:w="1710" w:type="dxa"/>
            <w:noWrap/>
            <w:hideMark/>
          </w:tcPr>
          <w:p w14:paraId="2E53B052"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6.064***</w:t>
            </w:r>
          </w:p>
          <w:p w14:paraId="5BA005B1"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(2.831)</w:t>
            </w:r>
          </w:p>
        </w:tc>
        <w:tc>
          <w:tcPr>
            <w:tcW w:w="2295" w:type="dxa"/>
            <w:noWrap/>
            <w:hideMark/>
          </w:tcPr>
          <w:p w14:paraId="25073137"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0.887</w:t>
            </w:r>
          </w:p>
        </w:tc>
        <w:tc>
          <w:tcPr>
            <w:tcW w:w="2295" w:type="dxa"/>
            <w:noWrap/>
            <w:hideMark/>
          </w:tcPr>
          <w:p w14:paraId="1FF7E39F" w14:textId="77777777" w:rsidR="00405C79" w:rsidRPr="00D20CA8"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2.717</w:t>
            </w:r>
          </w:p>
        </w:tc>
      </w:tr>
      <w:tr w:rsidR="00D20CA8" w:rsidRPr="00D20CA8" w14:paraId="52E7F1DD" w14:textId="77777777" w:rsidTr="00405C7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75" w:type="dxa"/>
            <w:noWrap/>
            <w:hideMark/>
          </w:tcPr>
          <w:p w14:paraId="61ADA181" w14:textId="77777777" w:rsidR="00405C79" w:rsidRPr="00D20CA8" w:rsidRDefault="00405C79" w:rsidP="005C0E20">
            <w:pPr>
              <w:jc w:val="lowKashida"/>
              <w:rPr>
                <w:rFonts w:asciiTheme="majorBidi" w:hAnsiTheme="majorBidi" w:cstheme="majorBidi"/>
                <w:b w:val="0"/>
                <w:bCs w:val="0"/>
                <w:sz w:val="24"/>
                <w:szCs w:val="24"/>
              </w:rPr>
            </w:pPr>
            <w:r w:rsidRPr="00D20CA8">
              <w:rPr>
                <w:rFonts w:asciiTheme="majorBidi" w:hAnsiTheme="majorBidi" w:cstheme="majorBidi"/>
                <w:sz w:val="24"/>
                <w:szCs w:val="24"/>
              </w:rPr>
              <w:t>_cons</w:t>
            </w:r>
          </w:p>
        </w:tc>
        <w:tc>
          <w:tcPr>
            <w:tcW w:w="1715" w:type="dxa"/>
            <w:noWrap/>
            <w:hideMark/>
          </w:tcPr>
          <w:p w14:paraId="5D19C075"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 xml:space="preserve">             0.097*** </w:t>
            </w:r>
          </w:p>
          <w:p w14:paraId="3FF9263D"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 xml:space="preserve">      (0.068)</w:t>
            </w:r>
          </w:p>
        </w:tc>
        <w:tc>
          <w:tcPr>
            <w:tcW w:w="2295" w:type="dxa"/>
            <w:noWrap/>
            <w:hideMark/>
          </w:tcPr>
          <w:p w14:paraId="543CD4EA"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-3.706</w:t>
            </w:r>
          </w:p>
        </w:tc>
        <w:tc>
          <w:tcPr>
            <w:tcW w:w="2295" w:type="dxa"/>
            <w:noWrap/>
            <w:hideMark/>
          </w:tcPr>
          <w:p w14:paraId="3CC0FE48" w14:textId="77777777" w:rsidR="00405C79" w:rsidRPr="00D20CA8"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20CA8">
              <w:rPr>
                <w:rFonts w:asciiTheme="majorBidi" w:hAnsiTheme="majorBidi" w:cstheme="majorBidi"/>
                <w:sz w:val="24"/>
                <w:szCs w:val="24"/>
              </w:rPr>
              <w:t>-0.951</w:t>
            </w:r>
          </w:p>
        </w:tc>
      </w:tr>
    </w:tbl>
    <w:p w14:paraId="22AFACE1" w14:textId="7777777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Signiﬁcant at 10%. ** Signiﬁcant at 5%. *** Signiﬁcant at 1%. LCI: lower conﬁdence interval. UCI: upper conﬁdence interval.</w:t>
      </w:r>
    </w:p>
    <w:p w14:paraId="2205ABE9" w14:textId="38BA109A"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Table 4 in the study presents the binary logistic regression results, including odds ratios, standard errors, and 95% confidence intervals for each variable. The likelihood ratio test indicates the statistical significance of the regression model, with a Chi-Square statistic of 50. </w:t>
      </w:r>
      <w:r w:rsidRPr="000306E6">
        <w:rPr>
          <w:rFonts w:asciiTheme="majorBidi" w:hAnsiTheme="majorBidi" w:cstheme="majorBidi"/>
          <w:color w:val="FF0000"/>
          <w:sz w:val="24"/>
          <w:szCs w:val="24"/>
        </w:rPr>
        <w:t>The model is considered a good fit as the p-value is less than 0.05</w:t>
      </w:r>
      <w:r w:rsidRPr="00D20CA8">
        <w:rPr>
          <w:rFonts w:asciiTheme="majorBidi" w:hAnsiTheme="majorBidi" w:cstheme="majorBidi"/>
          <w:sz w:val="24"/>
          <w:szCs w:val="24"/>
        </w:rPr>
        <w:t>. The Hosmer-</w:t>
      </w:r>
      <w:proofErr w:type="spellStart"/>
      <w:r w:rsidRPr="00D20CA8">
        <w:rPr>
          <w:rFonts w:asciiTheme="majorBidi" w:hAnsiTheme="majorBidi" w:cstheme="majorBidi"/>
          <w:sz w:val="24"/>
          <w:szCs w:val="24"/>
        </w:rPr>
        <w:t>Lemeshow</w:t>
      </w:r>
      <w:proofErr w:type="spellEnd"/>
      <w:r w:rsidRPr="00D20CA8">
        <w:rPr>
          <w:rFonts w:asciiTheme="majorBidi" w:hAnsiTheme="majorBidi" w:cstheme="majorBidi"/>
          <w:sz w:val="24"/>
          <w:szCs w:val="24"/>
        </w:rPr>
        <w:t xml:space="preserve"> test confirms the model's fitness, with a p-value of 0.8123, suggesting that the selected explanatory variables are significantly related to participation in the CE.</w:t>
      </w:r>
      <w:r w:rsidR="00F436A1">
        <w:rPr>
          <w:rFonts w:asciiTheme="majorBidi" w:hAnsiTheme="majorBidi" w:cstheme="majorBidi"/>
          <w:sz w:val="24"/>
          <w:szCs w:val="24"/>
        </w:rPr>
        <w:t xml:space="preserve"> </w:t>
      </w:r>
      <w:r w:rsidRPr="00D20CA8">
        <w:rPr>
          <w:rFonts w:asciiTheme="majorBidi" w:hAnsiTheme="majorBidi" w:cstheme="majorBidi"/>
          <w:sz w:val="24"/>
          <w:szCs w:val="24"/>
        </w:rPr>
        <w:t xml:space="preserve">Interpreting the odds ratios from Table 4 reveals a positive association between participation and the predictors. For consumers with a bachelor's degree, the odds of participating in CE are 3.7 times higher </w:t>
      </w:r>
      <w:r w:rsidR="00F436A1">
        <w:rPr>
          <w:rFonts w:asciiTheme="majorBidi" w:hAnsiTheme="majorBidi" w:cstheme="majorBidi"/>
          <w:sz w:val="24"/>
          <w:szCs w:val="24"/>
        </w:rPr>
        <w:t>than</w:t>
      </w:r>
      <w:r w:rsidRPr="00D20CA8">
        <w:rPr>
          <w:rFonts w:asciiTheme="majorBidi" w:hAnsiTheme="majorBidi" w:cstheme="majorBidi"/>
          <w:sz w:val="24"/>
          <w:szCs w:val="24"/>
        </w:rPr>
        <w:t xml:space="preserve"> those with a secondary school education. Similarly, individuals with a master's degree have odds 7.7 times higher, and Ph.D. holders have odds 5.8 times higher than those with secondary school education, indicating a strong likelihood of participation with higher education levels.</w:t>
      </w:r>
    </w:p>
    <w:p w14:paraId="4EA0D998" w14:textId="66F73D83"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The odds of participation in the CE for consumers aware of CE are 2.48 times higher than those without knowledge of CE. Additionally, individuals familiar with the role of consumers in addressing environmental issues have odds of participation 6 times higher than those unaware. This indicates a higher likelihood of participation for consumers aware of their role. The logistic regression model demonstrates a significant positive impact of education and awareness on consumer participation in CE in Qatar.</w:t>
      </w:r>
    </w:p>
    <w:p w14:paraId="0BC86ECB" w14:textId="77777777" w:rsidR="00900A0E" w:rsidRPr="00D20CA8" w:rsidRDefault="00900A0E" w:rsidP="005C0E20">
      <w:pPr>
        <w:jc w:val="lowKashida"/>
        <w:rPr>
          <w:rFonts w:asciiTheme="majorBidi" w:hAnsiTheme="majorBidi" w:cstheme="majorBidi"/>
          <w:sz w:val="24"/>
          <w:szCs w:val="24"/>
        </w:rPr>
      </w:pPr>
    </w:p>
    <w:p w14:paraId="234F1BAB" w14:textId="536FC6D3" w:rsidR="00900A0E" w:rsidRPr="00D20CA8" w:rsidRDefault="00F3717D" w:rsidP="005C0E20">
      <w:pPr>
        <w:jc w:val="lowKashida"/>
        <w:rPr>
          <w:rFonts w:asciiTheme="majorBidi" w:hAnsiTheme="majorBidi" w:cstheme="majorBidi"/>
          <w:sz w:val="24"/>
          <w:szCs w:val="24"/>
        </w:rPr>
      </w:pPr>
      <w:r w:rsidRPr="00D20CA8">
        <w:rPr>
          <w:rFonts w:asciiTheme="majorBidi" w:hAnsiTheme="majorBidi" w:cstheme="majorBidi"/>
          <w:sz w:val="24"/>
          <w:szCs w:val="24"/>
        </w:rPr>
        <w:t>4.3</w:t>
      </w:r>
      <w:r w:rsidRPr="00D20CA8">
        <w:rPr>
          <w:rFonts w:asciiTheme="majorBidi" w:hAnsiTheme="majorBidi" w:cstheme="majorBidi"/>
          <w:sz w:val="24"/>
          <w:szCs w:val="24"/>
        </w:rPr>
        <w:tab/>
      </w:r>
      <w:r w:rsidR="00900A0E" w:rsidRPr="00D20CA8">
        <w:rPr>
          <w:rFonts w:asciiTheme="majorBidi" w:hAnsiTheme="majorBidi" w:cstheme="majorBidi"/>
          <w:sz w:val="24"/>
          <w:szCs w:val="24"/>
        </w:rPr>
        <w:t>Circular Economy from consumers' perspectives: Descriptive statistics</w:t>
      </w:r>
    </w:p>
    <w:p w14:paraId="2CE53242" w14:textId="7777777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This section includes a descriptive overview of respondents' opinions, attitudes, and preferences. </w:t>
      </w:r>
    </w:p>
    <w:p w14:paraId="6FC5DE39" w14:textId="773781DA" w:rsidR="00900A0E" w:rsidRPr="00D20CA8" w:rsidRDefault="00F3717D" w:rsidP="005C0E20">
      <w:pPr>
        <w:jc w:val="lowKashida"/>
        <w:rPr>
          <w:rFonts w:asciiTheme="majorBidi" w:hAnsiTheme="majorBidi" w:cstheme="majorBidi"/>
          <w:sz w:val="24"/>
          <w:szCs w:val="24"/>
        </w:rPr>
      </w:pPr>
      <w:r w:rsidRPr="00D20CA8">
        <w:rPr>
          <w:rFonts w:asciiTheme="majorBidi" w:hAnsiTheme="majorBidi" w:cstheme="majorBidi"/>
          <w:sz w:val="24"/>
          <w:szCs w:val="24"/>
        </w:rPr>
        <w:t>4.3.1</w:t>
      </w:r>
      <w:r w:rsidRPr="00D20CA8">
        <w:rPr>
          <w:rFonts w:asciiTheme="majorBidi" w:hAnsiTheme="majorBidi" w:cstheme="majorBidi"/>
          <w:sz w:val="24"/>
          <w:szCs w:val="24"/>
        </w:rPr>
        <w:tab/>
      </w:r>
      <w:r w:rsidR="00900A0E" w:rsidRPr="00D20CA8">
        <w:rPr>
          <w:rFonts w:asciiTheme="majorBidi" w:hAnsiTheme="majorBidi" w:cstheme="majorBidi"/>
          <w:sz w:val="24"/>
          <w:szCs w:val="24"/>
        </w:rPr>
        <w:t xml:space="preserve">Consumer </w:t>
      </w:r>
      <w:r w:rsidR="00F436A1">
        <w:rPr>
          <w:rFonts w:asciiTheme="majorBidi" w:hAnsiTheme="majorBidi" w:cstheme="majorBidi"/>
          <w:sz w:val="24"/>
          <w:szCs w:val="24"/>
        </w:rPr>
        <w:t>E</w:t>
      </w:r>
      <w:r w:rsidR="00900A0E" w:rsidRPr="00D20CA8">
        <w:rPr>
          <w:rFonts w:asciiTheme="majorBidi" w:hAnsiTheme="majorBidi" w:cstheme="majorBidi"/>
          <w:sz w:val="24"/>
          <w:szCs w:val="24"/>
        </w:rPr>
        <w:t>ngagement in CE</w:t>
      </w:r>
    </w:p>
    <w:p w14:paraId="14EB1F28" w14:textId="2E7E7D2A"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Based on the information gathered from the respondents, we discuss consumer engagement in different </w:t>
      </w:r>
      <w:r w:rsidR="00EC5CA4">
        <w:rPr>
          <w:rFonts w:asciiTheme="majorBidi" w:hAnsiTheme="majorBidi" w:cstheme="majorBidi"/>
          <w:sz w:val="24"/>
          <w:szCs w:val="24"/>
        </w:rPr>
        <w:t>CE</w:t>
      </w:r>
      <w:r w:rsidRPr="00D20CA8">
        <w:rPr>
          <w:rFonts w:asciiTheme="majorBidi" w:hAnsiTheme="majorBidi" w:cstheme="majorBidi"/>
          <w:sz w:val="24"/>
          <w:szCs w:val="24"/>
        </w:rPr>
        <w:t xml:space="preserve"> activities. Table 5 presents the percentage of individual responses in each category. </w:t>
      </w:r>
    </w:p>
    <w:p w14:paraId="225639E0" w14:textId="77777777" w:rsidR="00900A0E" w:rsidRPr="00D20CA8" w:rsidRDefault="00900A0E" w:rsidP="005C0E20">
      <w:pPr>
        <w:jc w:val="lowKashida"/>
        <w:rPr>
          <w:rFonts w:asciiTheme="majorBidi" w:hAnsiTheme="majorBidi" w:cstheme="majorBidi"/>
          <w:sz w:val="24"/>
          <w:szCs w:val="24"/>
        </w:rPr>
      </w:pPr>
    </w:p>
    <w:p w14:paraId="63DD450F" w14:textId="71FC6701" w:rsidR="00405C79"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Table 5: Consumer Engagement in the Circular Economy</w:t>
      </w:r>
      <w:r w:rsidRPr="00D20CA8">
        <w:rPr>
          <w:rFonts w:asciiTheme="majorBidi" w:hAnsiTheme="majorBidi" w:cstheme="majorBidi"/>
          <w:sz w:val="24"/>
          <w:szCs w:val="24"/>
        </w:rPr>
        <w:tab/>
      </w:r>
    </w:p>
    <w:tbl>
      <w:tblPr>
        <w:tblStyle w:val="TableGrid"/>
        <w:tblW w:w="9824" w:type="dxa"/>
        <w:tblInd w:w="-5" w:type="dxa"/>
        <w:tblLook w:val="04A0" w:firstRow="1" w:lastRow="0" w:firstColumn="1" w:lastColumn="0" w:noHBand="0" w:noVBand="1"/>
      </w:tblPr>
      <w:tblGrid>
        <w:gridCol w:w="3327"/>
        <w:gridCol w:w="956"/>
        <w:gridCol w:w="956"/>
        <w:gridCol w:w="1283"/>
        <w:gridCol w:w="956"/>
        <w:gridCol w:w="956"/>
        <w:gridCol w:w="1390"/>
      </w:tblGrid>
      <w:tr w:rsidR="00D20CA8" w:rsidRPr="00D20CA8" w14:paraId="013DB801" w14:textId="77777777" w:rsidTr="00A047C0">
        <w:trPr>
          <w:trHeight w:val="793"/>
        </w:trPr>
        <w:tc>
          <w:tcPr>
            <w:tcW w:w="3546" w:type="dxa"/>
          </w:tcPr>
          <w:p w14:paraId="3AAF3CCC" w14:textId="77777777" w:rsidR="00405C79" w:rsidRPr="00D20CA8" w:rsidRDefault="00405C79" w:rsidP="005C0E20">
            <w:pPr>
              <w:jc w:val="lowKashida"/>
              <w:rPr>
                <w:rFonts w:asciiTheme="majorBidi" w:hAnsiTheme="majorBidi" w:cstheme="majorBidi"/>
                <w:sz w:val="24"/>
                <w:szCs w:val="24"/>
              </w:rPr>
            </w:pPr>
          </w:p>
        </w:tc>
        <w:tc>
          <w:tcPr>
            <w:tcW w:w="896" w:type="dxa"/>
          </w:tcPr>
          <w:p w14:paraId="6FBC2A9C"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Never</w:t>
            </w:r>
          </w:p>
        </w:tc>
        <w:tc>
          <w:tcPr>
            <w:tcW w:w="896" w:type="dxa"/>
          </w:tcPr>
          <w:p w14:paraId="20BB8DF9"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Rarely</w:t>
            </w:r>
          </w:p>
          <w:p w14:paraId="56424121" w14:textId="77777777" w:rsidR="00405C79" w:rsidRPr="00D20CA8" w:rsidRDefault="00405C79" w:rsidP="005C0E20">
            <w:pPr>
              <w:jc w:val="lowKashida"/>
              <w:rPr>
                <w:rFonts w:asciiTheme="majorBidi" w:hAnsiTheme="majorBidi" w:cstheme="majorBidi"/>
                <w:sz w:val="24"/>
                <w:szCs w:val="24"/>
              </w:rPr>
            </w:pPr>
          </w:p>
        </w:tc>
        <w:tc>
          <w:tcPr>
            <w:tcW w:w="1247" w:type="dxa"/>
          </w:tcPr>
          <w:p w14:paraId="46C96741"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Sometimes</w:t>
            </w:r>
          </w:p>
          <w:p w14:paraId="378B0167" w14:textId="77777777" w:rsidR="00405C79" w:rsidRPr="00D20CA8" w:rsidRDefault="00405C79" w:rsidP="005C0E20">
            <w:pPr>
              <w:jc w:val="lowKashida"/>
              <w:rPr>
                <w:rFonts w:asciiTheme="majorBidi" w:hAnsiTheme="majorBidi" w:cstheme="majorBidi"/>
                <w:sz w:val="24"/>
                <w:szCs w:val="24"/>
              </w:rPr>
            </w:pPr>
          </w:p>
        </w:tc>
        <w:tc>
          <w:tcPr>
            <w:tcW w:w="896" w:type="dxa"/>
          </w:tcPr>
          <w:p w14:paraId="6AC1AF9F"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Often</w:t>
            </w:r>
          </w:p>
          <w:p w14:paraId="237B537C" w14:textId="77777777" w:rsidR="00405C79" w:rsidRPr="00D20CA8" w:rsidRDefault="00405C79" w:rsidP="005C0E20">
            <w:pPr>
              <w:jc w:val="lowKashida"/>
              <w:rPr>
                <w:rFonts w:asciiTheme="majorBidi" w:hAnsiTheme="majorBidi" w:cstheme="majorBidi"/>
                <w:sz w:val="24"/>
                <w:szCs w:val="24"/>
              </w:rPr>
            </w:pPr>
          </w:p>
        </w:tc>
        <w:tc>
          <w:tcPr>
            <w:tcW w:w="896" w:type="dxa"/>
          </w:tcPr>
          <w:p w14:paraId="4D3E8507"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Always</w:t>
            </w:r>
          </w:p>
          <w:p w14:paraId="7282343B" w14:textId="77777777" w:rsidR="00405C79" w:rsidRPr="00D20CA8" w:rsidRDefault="00405C79" w:rsidP="005C0E20">
            <w:pPr>
              <w:jc w:val="lowKashida"/>
              <w:rPr>
                <w:rFonts w:asciiTheme="majorBidi" w:hAnsiTheme="majorBidi" w:cstheme="majorBidi"/>
                <w:sz w:val="24"/>
                <w:szCs w:val="24"/>
              </w:rPr>
            </w:pPr>
          </w:p>
        </w:tc>
        <w:tc>
          <w:tcPr>
            <w:tcW w:w="1447" w:type="dxa"/>
          </w:tcPr>
          <w:p w14:paraId="081AC1B5"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Other (please specify)</w:t>
            </w:r>
          </w:p>
          <w:p w14:paraId="0586036A" w14:textId="77777777" w:rsidR="00405C79" w:rsidRPr="00D20CA8" w:rsidRDefault="00405C79" w:rsidP="005C0E20">
            <w:pPr>
              <w:jc w:val="lowKashida"/>
              <w:rPr>
                <w:rFonts w:asciiTheme="majorBidi" w:hAnsiTheme="majorBidi" w:cstheme="majorBidi"/>
                <w:sz w:val="24"/>
                <w:szCs w:val="24"/>
              </w:rPr>
            </w:pPr>
          </w:p>
        </w:tc>
      </w:tr>
      <w:tr w:rsidR="00D20CA8" w:rsidRPr="00D20CA8" w14:paraId="2D4D982C" w14:textId="77777777" w:rsidTr="00A047C0">
        <w:trPr>
          <w:trHeight w:val="735"/>
        </w:trPr>
        <w:tc>
          <w:tcPr>
            <w:tcW w:w="3546" w:type="dxa"/>
          </w:tcPr>
          <w:p w14:paraId="37C89E35"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i/>
                <w:iCs/>
                <w:sz w:val="24"/>
                <w:szCs w:val="24"/>
              </w:rPr>
              <w:lastRenderedPageBreak/>
              <w:t>Buying environmentally friendly products (</w:t>
            </w:r>
            <w:proofErr w:type="spellStart"/>
            <w:r w:rsidRPr="00D20CA8">
              <w:rPr>
                <w:rFonts w:asciiTheme="majorBidi" w:hAnsiTheme="majorBidi" w:cstheme="majorBidi"/>
                <w:i/>
                <w:iCs/>
                <w:sz w:val="24"/>
                <w:szCs w:val="24"/>
              </w:rPr>
              <w:t>labeled</w:t>
            </w:r>
            <w:proofErr w:type="spellEnd"/>
            <w:r w:rsidRPr="00D20CA8">
              <w:rPr>
                <w:rFonts w:asciiTheme="majorBidi" w:hAnsiTheme="majorBidi" w:cstheme="majorBidi"/>
                <w:i/>
                <w:iCs/>
                <w:sz w:val="24"/>
                <w:szCs w:val="24"/>
              </w:rPr>
              <w:t xml:space="preserve"> as green products)</w:t>
            </w:r>
          </w:p>
        </w:tc>
        <w:tc>
          <w:tcPr>
            <w:tcW w:w="896" w:type="dxa"/>
          </w:tcPr>
          <w:p w14:paraId="266A38AA"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1.99%</w:t>
            </w:r>
          </w:p>
        </w:tc>
        <w:tc>
          <w:tcPr>
            <w:tcW w:w="896" w:type="dxa"/>
          </w:tcPr>
          <w:p w14:paraId="540C95CB"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13.43%</w:t>
            </w:r>
          </w:p>
        </w:tc>
        <w:tc>
          <w:tcPr>
            <w:tcW w:w="1247" w:type="dxa"/>
          </w:tcPr>
          <w:p w14:paraId="01DB63E4"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50.25%</w:t>
            </w:r>
          </w:p>
        </w:tc>
        <w:tc>
          <w:tcPr>
            <w:tcW w:w="896" w:type="dxa"/>
          </w:tcPr>
          <w:p w14:paraId="5893DED2"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26.12%</w:t>
            </w:r>
          </w:p>
        </w:tc>
        <w:tc>
          <w:tcPr>
            <w:tcW w:w="896" w:type="dxa"/>
          </w:tcPr>
          <w:p w14:paraId="3BD7F296"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7.96%</w:t>
            </w:r>
          </w:p>
        </w:tc>
        <w:tc>
          <w:tcPr>
            <w:tcW w:w="1447" w:type="dxa"/>
          </w:tcPr>
          <w:p w14:paraId="66823C3B"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0.25%</w:t>
            </w:r>
          </w:p>
        </w:tc>
      </w:tr>
      <w:tr w:rsidR="00D20CA8" w:rsidRPr="00D20CA8" w14:paraId="73F4E929" w14:textId="77777777" w:rsidTr="00A047C0">
        <w:trPr>
          <w:trHeight w:val="263"/>
        </w:trPr>
        <w:tc>
          <w:tcPr>
            <w:tcW w:w="3546" w:type="dxa"/>
          </w:tcPr>
          <w:p w14:paraId="14D3A9AD"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i/>
                <w:iCs/>
                <w:sz w:val="24"/>
                <w:szCs w:val="24"/>
              </w:rPr>
              <w:t>Buying reusable goods</w:t>
            </w:r>
          </w:p>
        </w:tc>
        <w:tc>
          <w:tcPr>
            <w:tcW w:w="896" w:type="dxa"/>
          </w:tcPr>
          <w:p w14:paraId="17211596"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1.24%</w:t>
            </w:r>
          </w:p>
        </w:tc>
        <w:tc>
          <w:tcPr>
            <w:tcW w:w="896" w:type="dxa"/>
          </w:tcPr>
          <w:p w14:paraId="6B45D6C2"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13.68%</w:t>
            </w:r>
          </w:p>
        </w:tc>
        <w:tc>
          <w:tcPr>
            <w:tcW w:w="1247" w:type="dxa"/>
          </w:tcPr>
          <w:p w14:paraId="714CC450"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38.31%</w:t>
            </w:r>
          </w:p>
        </w:tc>
        <w:tc>
          <w:tcPr>
            <w:tcW w:w="896" w:type="dxa"/>
          </w:tcPr>
          <w:p w14:paraId="29142A60"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33.33%</w:t>
            </w:r>
          </w:p>
        </w:tc>
        <w:tc>
          <w:tcPr>
            <w:tcW w:w="896" w:type="dxa"/>
          </w:tcPr>
          <w:p w14:paraId="05AA5B5A"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13.18%</w:t>
            </w:r>
          </w:p>
        </w:tc>
        <w:tc>
          <w:tcPr>
            <w:tcW w:w="1447" w:type="dxa"/>
          </w:tcPr>
          <w:p w14:paraId="737F4131"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0.25%</w:t>
            </w:r>
          </w:p>
        </w:tc>
      </w:tr>
      <w:tr w:rsidR="00D20CA8" w:rsidRPr="00D20CA8" w14:paraId="6F861F01" w14:textId="77777777" w:rsidTr="00A047C0">
        <w:trPr>
          <w:trHeight w:val="499"/>
        </w:trPr>
        <w:tc>
          <w:tcPr>
            <w:tcW w:w="3546" w:type="dxa"/>
          </w:tcPr>
          <w:p w14:paraId="15A1CD8C"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i/>
                <w:iCs/>
                <w:sz w:val="24"/>
                <w:szCs w:val="24"/>
              </w:rPr>
              <w:t>Using public transport to reduce emissions</w:t>
            </w:r>
          </w:p>
        </w:tc>
        <w:tc>
          <w:tcPr>
            <w:tcW w:w="896" w:type="dxa"/>
          </w:tcPr>
          <w:p w14:paraId="7B572CE0"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38.31%</w:t>
            </w:r>
          </w:p>
        </w:tc>
        <w:tc>
          <w:tcPr>
            <w:tcW w:w="896" w:type="dxa"/>
          </w:tcPr>
          <w:p w14:paraId="5A619658"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25.87%</w:t>
            </w:r>
          </w:p>
        </w:tc>
        <w:tc>
          <w:tcPr>
            <w:tcW w:w="1247" w:type="dxa"/>
          </w:tcPr>
          <w:p w14:paraId="6CD1894E"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22.89%</w:t>
            </w:r>
          </w:p>
        </w:tc>
        <w:tc>
          <w:tcPr>
            <w:tcW w:w="896" w:type="dxa"/>
          </w:tcPr>
          <w:p w14:paraId="3D8D5F49"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9.70%</w:t>
            </w:r>
          </w:p>
        </w:tc>
        <w:tc>
          <w:tcPr>
            <w:tcW w:w="896" w:type="dxa"/>
          </w:tcPr>
          <w:p w14:paraId="738D475D"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3.23%</w:t>
            </w:r>
          </w:p>
        </w:tc>
        <w:tc>
          <w:tcPr>
            <w:tcW w:w="1447" w:type="dxa"/>
          </w:tcPr>
          <w:p w14:paraId="0DF79E71"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0.0</w:t>
            </w:r>
          </w:p>
        </w:tc>
      </w:tr>
      <w:tr w:rsidR="00D20CA8" w:rsidRPr="00D20CA8" w14:paraId="7ECA252F" w14:textId="77777777" w:rsidTr="00A047C0">
        <w:trPr>
          <w:trHeight w:val="499"/>
        </w:trPr>
        <w:tc>
          <w:tcPr>
            <w:tcW w:w="3546" w:type="dxa"/>
          </w:tcPr>
          <w:p w14:paraId="07604DEC"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i/>
                <w:iCs/>
                <w:sz w:val="24"/>
                <w:szCs w:val="24"/>
              </w:rPr>
              <w:t>Switch lights off while leaving your room/office</w:t>
            </w:r>
          </w:p>
        </w:tc>
        <w:tc>
          <w:tcPr>
            <w:tcW w:w="896" w:type="dxa"/>
          </w:tcPr>
          <w:p w14:paraId="149A0139"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1.00%</w:t>
            </w:r>
          </w:p>
        </w:tc>
        <w:tc>
          <w:tcPr>
            <w:tcW w:w="896" w:type="dxa"/>
          </w:tcPr>
          <w:p w14:paraId="732D9ACE"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2.99%</w:t>
            </w:r>
          </w:p>
        </w:tc>
        <w:tc>
          <w:tcPr>
            <w:tcW w:w="1247" w:type="dxa"/>
          </w:tcPr>
          <w:p w14:paraId="3798CC65"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22.39%</w:t>
            </w:r>
          </w:p>
        </w:tc>
        <w:tc>
          <w:tcPr>
            <w:tcW w:w="896" w:type="dxa"/>
          </w:tcPr>
          <w:p w14:paraId="7BE60665"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25.37%</w:t>
            </w:r>
          </w:p>
        </w:tc>
        <w:tc>
          <w:tcPr>
            <w:tcW w:w="896" w:type="dxa"/>
          </w:tcPr>
          <w:p w14:paraId="42904A60"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46.02%</w:t>
            </w:r>
          </w:p>
        </w:tc>
        <w:tc>
          <w:tcPr>
            <w:tcW w:w="1447" w:type="dxa"/>
          </w:tcPr>
          <w:p w14:paraId="34821E1E"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2.24%</w:t>
            </w:r>
          </w:p>
        </w:tc>
      </w:tr>
      <w:tr w:rsidR="00D20CA8" w:rsidRPr="00D20CA8" w14:paraId="0D896854" w14:textId="77777777" w:rsidTr="00A047C0">
        <w:trPr>
          <w:trHeight w:val="489"/>
        </w:trPr>
        <w:tc>
          <w:tcPr>
            <w:tcW w:w="3546" w:type="dxa"/>
          </w:tcPr>
          <w:p w14:paraId="2C01766F"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i/>
                <w:iCs/>
                <w:sz w:val="24"/>
                <w:szCs w:val="24"/>
              </w:rPr>
              <w:t>Buying second-hand items</w:t>
            </w:r>
          </w:p>
        </w:tc>
        <w:tc>
          <w:tcPr>
            <w:tcW w:w="896" w:type="dxa"/>
          </w:tcPr>
          <w:p w14:paraId="4F294BA0"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41.54%</w:t>
            </w:r>
          </w:p>
        </w:tc>
        <w:tc>
          <w:tcPr>
            <w:tcW w:w="896" w:type="dxa"/>
          </w:tcPr>
          <w:p w14:paraId="7E472804"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22.39%</w:t>
            </w:r>
          </w:p>
        </w:tc>
        <w:tc>
          <w:tcPr>
            <w:tcW w:w="1247" w:type="dxa"/>
          </w:tcPr>
          <w:p w14:paraId="0AD71B11"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26.87%</w:t>
            </w:r>
          </w:p>
        </w:tc>
        <w:tc>
          <w:tcPr>
            <w:tcW w:w="896" w:type="dxa"/>
          </w:tcPr>
          <w:p w14:paraId="79360728"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5.97%</w:t>
            </w:r>
          </w:p>
        </w:tc>
        <w:tc>
          <w:tcPr>
            <w:tcW w:w="896" w:type="dxa"/>
          </w:tcPr>
          <w:p w14:paraId="28BD7B46"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3.23%</w:t>
            </w:r>
          </w:p>
        </w:tc>
        <w:tc>
          <w:tcPr>
            <w:tcW w:w="1447" w:type="dxa"/>
          </w:tcPr>
          <w:p w14:paraId="082EFC15"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0.0</w:t>
            </w:r>
          </w:p>
        </w:tc>
      </w:tr>
      <w:tr w:rsidR="00D20CA8" w:rsidRPr="00D20CA8" w14:paraId="588AD950" w14:textId="77777777" w:rsidTr="00A047C0">
        <w:trPr>
          <w:trHeight w:val="263"/>
        </w:trPr>
        <w:tc>
          <w:tcPr>
            <w:tcW w:w="3546" w:type="dxa"/>
          </w:tcPr>
          <w:p w14:paraId="6B7428EB" w14:textId="77777777" w:rsidR="00405C79" w:rsidRPr="00D20CA8" w:rsidRDefault="00405C79" w:rsidP="005C0E20">
            <w:pPr>
              <w:jc w:val="lowKashida"/>
              <w:rPr>
                <w:rFonts w:asciiTheme="majorBidi" w:hAnsiTheme="majorBidi" w:cstheme="majorBidi"/>
                <w:i/>
                <w:iCs/>
                <w:sz w:val="24"/>
                <w:szCs w:val="24"/>
              </w:rPr>
            </w:pPr>
            <w:bookmarkStart w:id="0" w:name="_Hlk150161998"/>
          </w:p>
        </w:tc>
        <w:tc>
          <w:tcPr>
            <w:tcW w:w="896" w:type="dxa"/>
          </w:tcPr>
          <w:p w14:paraId="6252A75F"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Repair</w:t>
            </w:r>
          </w:p>
        </w:tc>
        <w:tc>
          <w:tcPr>
            <w:tcW w:w="896" w:type="dxa"/>
          </w:tcPr>
          <w:p w14:paraId="17EBC5D9"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Throw away</w:t>
            </w:r>
          </w:p>
        </w:tc>
        <w:tc>
          <w:tcPr>
            <w:tcW w:w="1247" w:type="dxa"/>
          </w:tcPr>
          <w:p w14:paraId="4B11E39B"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Repurpose for other use</w:t>
            </w:r>
          </w:p>
        </w:tc>
        <w:tc>
          <w:tcPr>
            <w:tcW w:w="896" w:type="dxa"/>
          </w:tcPr>
          <w:p w14:paraId="08559FFB"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Donate</w:t>
            </w:r>
          </w:p>
        </w:tc>
        <w:tc>
          <w:tcPr>
            <w:tcW w:w="2343" w:type="dxa"/>
            <w:gridSpan w:val="2"/>
          </w:tcPr>
          <w:p w14:paraId="57E71E86"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other</w:t>
            </w:r>
          </w:p>
        </w:tc>
      </w:tr>
      <w:bookmarkEnd w:id="0"/>
      <w:tr w:rsidR="00D20CA8" w:rsidRPr="00D20CA8" w14:paraId="4853E265" w14:textId="77777777" w:rsidTr="00A047C0">
        <w:trPr>
          <w:trHeight w:val="263"/>
        </w:trPr>
        <w:tc>
          <w:tcPr>
            <w:tcW w:w="3546" w:type="dxa"/>
          </w:tcPr>
          <w:p w14:paraId="61BFBBB6" w14:textId="77777777" w:rsidR="00405C79" w:rsidRPr="00D20CA8" w:rsidRDefault="00405C79" w:rsidP="005C0E20">
            <w:pPr>
              <w:jc w:val="lowKashida"/>
              <w:rPr>
                <w:rFonts w:asciiTheme="majorBidi" w:hAnsiTheme="majorBidi" w:cstheme="majorBidi"/>
                <w:i/>
                <w:iCs/>
                <w:sz w:val="24"/>
                <w:szCs w:val="24"/>
              </w:rPr>
            </w:pPr>
            <w:r w:rsidRPr="00D20CA8">
              <w:rPr>
                <w:rFonts w:asciiTheme="majorBidi" w:hAnsiTheme="majorBidi" w:cstheme="majorBidi"/>
                <w:i/>
                <w:iCs/>
                <w:sz w:val="24"/>
                <w:szCs w:val="24"/>
              </w:rPr>
              <w:t>Attitude towards possessions no longer in use</w:t>
            </w:r>
          </w:p>
        </w:tc>
        <w:tc>
          <w:tcPr>
            <w:tcW w:w="896" w:type="dxa"/>
          </w:tcPr>
          <w:p w14:paraId="1391134E"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1.99%</w:t>
            </w:r>
          </w:p>
        </w:tc>
        <w:tc>
          <w:tcPr>
            <w:tcW w:w="896" w:type="dxa"/>
          </w:tcPr>
          <w:p w14:paraId="3F9E572D"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13.43%</w:t>
            </w:r>
          </w:p>
        </w:tc>
        <w:tc>
          <w:tcPr>
            <w:tcW w:w="1247" w:type="dxa"/>
          </w:tcPr>
          <w:p w14:paraId="388329E5"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29.35%</w:t>
            </w:r>
          </w:p>
        </w:tc>
        <w:tc>
          <w:tcPr>
            <w:tcW w:w="896" w:type="dxa"/>
          </w:tcPr>
          <w:p w14:paraId="1AEB1A26"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54.48%</w:t>
            </w:r>
          </w:p>
        </w:tc>
        <w:tc>
          <w:tcPr>
            <w:tcW w:w="2343" w:type="dxa"/>
            <w:gridSpan w:val="2"/>
          </w:tcPr>
          <w:p w14:paraId="4856E31E"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0.75%</w:t>
            </w:r>
          </w:p>
        </w:tc>
      </w:tr>
      <w:tr w:rsidR="00D20CA8" w:rsidRPr="00D20CA8" w14:paraId="65E76DF4" w14:textId="77777777" w:rsidTr="00A047C0">
        <w:trPr>
          <w:trHeight w:val="263"/>
        </w:trPr>
        <w:tc>
          <w:tcPr>
            <w:tcW w:w="3546" w:type="dxa"/>
          </w:tcPr>
          <w:p w14:paraId="55211721" w14:textId="77777777" w:rsidR="00405C79" w:rsidRPr="00D20CA8" w:rsidRDefault="00405C79" w:rsidP="005C0E20">
            <w:pPr>
              <w:jc w:val="lowKashida"/>
              <w:rPr>
                <w:rFonts w:asciiTheme="majorBidi" w:hAnsiTheme="majorBidi" w:cstheme="majorBidi"/>
                <w:i/>
                <w:iCs/>
                <w:sz w:val="24"/>
                <w:szCs w:val="24"/>
              </w:rPr>
            </w:pPr>
          </w:p>
        </w:tc>
        <w:tc>
          <w:tcPr>
            <w:tcW w:w="3039" w:type="dxa"/>
            <w:gridSpan w:val="3"/>
          </w:tcPr>
          <w:p w14:paraId="7181300A"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yes</w:t>
            </w:r>
          </w:p>
        </w:tc>
        <w:tc>
          <w:tcPr>
            <w:tcW w:w="3239" w:type="dxa"/>
            <w:gridSpan w:val="3"/>
          </w:tcPr>
          <w:p w14:paraId="041CF4C9"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No</w:t>
            </w:r>
          </w:p>
        </w:tc>
      </w:tr>
      <w:tr w:rsidR="00D20CA8" w:rsidRPr="00D20CA8" w14:paraId="76BC1D2F" w14:textId="77777777" w:rsidTr="00A047C0">
        <w:trPr>
          <w:trHeight w:val="263"/>
        </w:trPr>
        <w:tc>
          <w:tcPr>
            <w:tcW w:w="3546" w:type="dxa"/>
          </w:tcPr>
          <w:p w14:paraId="7A72068C" w14:textId="77777777" w:rsidR="00405C79" w:rsidRPr="00D20CA8" w:rsidRDefault="00405C79" w:rsidP="005C0E20">
            <w:pPr>
              <w:jc w:val="lowKashida"/>
              <w:rPr>
                <w:rFonts w:asciiTheme="majorBidi" w:hAnsiTheme="majorBidi" w:cstheme="majorBidi"/>
                <w:i/>
                <w:iCs/>
                <w:sz w:val="24"/>
                <w:szCs w:val="24"/>
              </w:rPr>
            </w:pPr>
            <w:r w:rsidRPr="00D20CA8">
              <w:rPr>
                <w:rFonts w:asciiTheme="majorBidi" w:hAnsiTheme="majorBidi" w:cstheme="majorBidi"/>
                <w:i/>
                <w:iCs/>
                <w:sz w:val="24"/>
                <w:szCs w:val="24"/>
              </w:rPr>
              <w:t>Practiced self-repair at least once in life</w:t>
            </w:r>
          </w:p>
        </w:tc>
        <w:tc>
          <w:tcPr>
            <w:tcW w:w="3039" w:type="dxa"/>
            <w:gridSpan w:val="3"/>
          </w:tcPr>
          <w:p w14:paraId="0372320F"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77.11%</w:t>
            </w:r>
          </w:p>
        </w:tc>
        <w:tc>
          <w:tcPr>
            <w:tcW w:w="3239" w:type="dxa"/>
            <w:gridSpan w:val="3"/>
          </w:tcPr>
          <w:p w14:paraId="4EF70D0A"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22.89%</w:t>
            </w:r>
          </w:p>
        </w:tc>
      </w:tr>
    </w:tbl>
    <w:p w14:paraId="4CDF90DE" w14:textId="77777777" w:rsidR="00900A0E" w:rsidRPr="00D20CA8" w:rsidRDefault="00900A0E" w:rsidP="005C0E20">
      <w:pPr>
        <w:jc w:val="lowKashida"/>
        <w:rPr>
          <w:rFonts w:asciiTheme="majorBidi" w:hAnsiTheme="majorBidi" w:cstheme="majorBidi"/>
          <w:sz w:val="24"/>
          <w:szCs w:val="24"/>
        </w:rPr>
      </w:pPr>
    </w:p>
    <w:p w14:paraId="37C56A4B" w14:textId="3FBB3F8E"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From Table 5, approximately 50% of consumers sometimes shop for environmentally friendly products, while 26% often do so. A negligible percentage (0.25%) indicated they do not prioritize environmentally friendly labeling. </w:t>
      </w:r>
      <w:proofErr w:type="gramStart"/>
      <w:r w:rsidRPr="00D20CA8">
        <w:rPr>
          <w:rFonts w:asciiTheme="majorBidi" w:hAnsiTheme="majorBidi" w:cstheme="majorBidi"/>
          <w:sz w:val="24"/>
          <w:szCs w:val="24"/>
        </w:rPr>
        <w:t>The majority of</w:t>
      </w:r>
      <w:proofErr w:type="gramEnd"/>
      <w:r w:rsidRPr="00D20CA8">
        <w:rPr>
          <w:rFonts w:asciiTheme="majorBidi" w:hAnsiTheme="majorBidi" w:cstheme="majorBidi"/>
          <w:sz w:val="24"/>
          <w:szCs w:val="24"/>
        </w:rPr>
        <w:t xml:space="preserve"> respondents exhibit environmentally conscious shopping habits. </w:t>
      </w:r>
      <w:r w:rsidR="00F436A1">
        <w:rPr>
          <w:rFonts w:asciiTheme="majorBidi" w:hAnsiTheme="majorBidi" w:cstheme="majorBidi"/>
          <w:sz w:val="24"/>
          <w:szCs w:val="24"/>
        </w:rPr>
        <w:t>Regarding</w:t>
      </w:r>
      <w:r w:rsidRPr="00D20CA8">
        <w:rPr>
          <w:rFonts w:asciiTheme="majorBidi" w:hAnsiTheme="majorBidi" w:cstheme="majorBidi"/>
          <w:sz w:val="24"/>
          <w:szCs w:val="24"/>
        </w:rPr>
        <w:t xml:space="preserve"> reusable items, data reveals that around 38% sometimes buy, 33% often buy, and 13% always buy reusable items, with 14% never having purchased such items. Despite varying frequencies, there is a notable interest in shopping for reusable products.</w:t>
      </w:r>
    </w:p>
    <w:p w14:paraId="24FE385B" w14:textId="25A7CACC"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Regarding public transportation in Qatar, approximately 38% of respondents never use it, and about 26% rarely do. The data suggests that car owners are hesitant to utilize public transport due to cultural factors</w:t>
      </w:r>
      <w:r w:rsidR="00F436A1">
        <w:rPr>
          <w:rFonts w:asciiTheme="majorBidi" w:hAnsiTheme="majorBidi" w:cstheme="majorBidi"/>
          <w:sz w:val="24"/>
          <w:szCs w:val="24"/>
        </w:rPr>
        <w:t>, such as car ownership, which symbolize</w:t>
      </w:r>
      <w:r w:rsidRPr="00D20CA8">
        <w:rPr>
          <w:rFonts w:asciiTheme="majorBidi" w:hAnsiTheme="majorBidi" w:cstheme="majorBidi"/>
          <w:sz w:val="24"/>
          <w:szCs w:val="24"/>
        </w:rPr>
        <w:t xml:space="preserve"> lifestyle and status. In Qatar's affluent society, owning multiple cars is common, contributing to reluctance </w:t>
      </w:r>
      <w:r w:rsidR="00F436A1">
        <w:rPr>
          <w:rFonts w:asciiTheme="majorBidi" w:hAnsiTheme="majorBidi" w:cstheme="majorBidi"/>
          <w:sz w:val="24"/>
          <w:szCs w:val="24"/>
        </w:rPr>
        <w:t>to adopt pro-environmental behaviors like</w:t>
      </w:r>
      <w:r w:rsidRPr="00D20CA8">
        <w:rPr>
          <w:rFonts w:asciiTheme="majorBidi" w:hAnsiTheme="majorBidi" w:cstheme="majorBidi"/>
          <w:sz w:val="24"/>
          <w:szCs w:val="24"/>
        </w:rPr>
        <w:t xml:space="preserve"> public transport. Additionally, the low walkability in Qatar, influenced by extreme weather conditions, further impacts transportation choices.</w:t>
      </w:r>
    </w:p>
    <w:p w14:paraId="6384A01B" w14:textId="7777777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In a survey regarding energy conservation habits, 46% of respondents consistently turn off lights, 25% do so often, and 22% sometimes. Notably, in Qatar, where many households do not pay for electricity, this conscientious behavior of actively conserving energy, even without direct cost implications, is commendable.</w:t>
      </w:r>
    </w:p>
    <w:p w14:paraId="71FF1F6C" w14:textId="731F0C8E"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In a study on consumer behavior towards surplus items, approximately 54% of respondents mentioned donating such items, aligning with the sharing principle of the </w:t>
      </w:r>
      <w:proofErr w:type="gramStart"/>
      <w:r w:rsidRPr="00D20CA8">
        <w:rPr>
          <w:rFonts w:asciiTheme="majorBidi" w:hAnsiTheme="majorBidi" w:cstheme="majorBidi"/>
          <w:sz w:val="24"/>
          <w:szCs w:val="24"/>
        </w:rPr>
        <w:t>CE</w:t>
      </w:r>
      <w:proofErr w:type="gramEnd"/>
      <w:r w:rsidRPr="00D20CA8">
        <w:rPr>
          <w:rFonts w:asciiTheme="majorBidi" w:hAnsiTheme="majorBidi" w:cstheme="majorBidi"/>
          <w:sz w:val="24"/>
          <w:szCs w:val="24"/>
        </w:rPr>
        <w:t xml:space="preserve"> and reflecting Islamic principles of charity. Donation plays a significant role in supporting marginalized communities and those in need, resonating with cultural values in Qatar. Qatar Charity's initiatives further </w:t>
      </w:r>
      <w:r w:rsidRPr="00D20CA8">
        <w:rPr>
          <w:rFonts w:asciiTheme="majorBidi" w:hAnsiTheme="majorBidi" w:cstheme="majorBidi"/>
          <w:sz w:val="24"/>
          <w:szCs w:val="24"/>
        </w:rPr>
        <w:lastRenderedPageBreak/>
        <w:t>highlight the importance of donation at a national and international level, showcasing community involvement in aiding global crises. Additionally, 29% of respondents engage in repurposing items, demonstrating adherence to the reuse principle of the CE.</w:t>
      </w:r>
    </w:p>
    <w:p w14:paraId="41B3D4BF" w14:textId="52514DB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In the study, approximately 77% of respondents reported practicing self-repair at least once, highlighting the importance of repair in the CE framework. The data indicates a departure from a throwaway culture, with only 23% of respondents admitting to discarding surplus items.</w:t>
      </w:r>
      <w:r w:rsidR="00F436A1">
        <w:rPr>
          <w:rFonts w:asciiTheme="majorBidi" w:hAnsiTheme="majorBidi" w:cstheme="majorBidi"/>
          <w:sz w:val="24"/>
          <w:szCs w:val="24"/>
        </w:rPr>
        <w:t xml:space="preserve"> </w:t>
      </w:r>
      <w:r w:rsidRPr="00D20CA8">
        <w:rPr>
          <w:rFonts w:asciiTheme="majorBidi" w:hAnsiTheme="majorBidi" w:cstheme="majorBidi"/>
          <w:sz w:val="24"/>
          <w:szCs w:val="24"/>
        </w:rPr>
        <w:t xml:space="preserve">When it comes to shopping from second-hand stores, around 42% of respondents have never engaged in this practice, likely due to </w:t>
      </w:r>
      <w:r w:rsidR="00F436A1">
        <w:rPr>
          <w:rFonts w:asciiTheme="majorBidi" w:hAnsiTheme="majorBidi" w:cstheme="majorBidi"/>
          <w:sz w:val="24"/>
          <w:szCs w:val="24"/>
        </w:rPr>
        <w:t xml:space="preserve">the </w:t>
      </w:r>
      <w:r w:rsidRPr="00D20CA8">
        <w:rPr>
          <w:rFonts w:asciiTheme="majorBidi" w:hAnsiTheme="majorBidi" w:cstheme="majorBidi"/>
          <w:sz w:val="24"/>
          <w:szCs w:val="24"/>
        </w:rPr>
        <w:t xml:space="preserve">limited availability of second-hand markets in Qatar and cultural preferences. However, 22% rarely purchase second-hand items, while 27% do so occasionally. </w:t>
      </w:r>
    </w:p>
    <w:p w14:paraId="293BEFF0" w14:textId="470193A6"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The findings from Table 5 suggest active consumer engagement in eco-friendly practices like buying reusable products, energy conservation, repurposing items, and resource sharing. Nonetheless, participation in purchasing from second-hand stores and using public transport for emission reduction appears relatively low.</w:t>
      </w:r>
    </w:p>
    <w:p w14:paraId="2AB35954" w14:textId="505136F0" w:rsidR="00900A0E" w:rsidRPr="00D20CA8" w:rsidRDefault="00F3717D" w:rsidP="005C0E20">
      <w:pPr>
        <w:jc w:val="lowKashida"/>
        <w:rPr>
          <w:rFonts w:asciiTheme="majorBidi" w:hAnsiTheme="majorBidi" w:cstheme="majorBidi"/>
          <w:sz w:val="24"/>
          <w:szCs w:val="24"/>
        </w:rPr>
      </w:pPr>
      <w:r w:rsidRPr="00D20CA8">
        <w:rPr>
          <w:rFonts w:asciiTheme="majorBidi" w:hAnsiTheme="majorBidi" w:cstheme="majorBidi"/>
          <w:sz w:val="24"/>
          <w:szCs w:val="24"/>
        </w:rPr>
        <w:t>4.3.2</w:t>
      </w:r>
      <w:r w:rsidRPr="00D20CA8">
        <w:rPr>
          <w:rFonts w:asciiTheme="majorBidi" w:hAnsiTheme="majorBidi" w:cstheme="majorBidi"/>
          <w:sz w:val="24"/>
          <w:szCs w:val="24"/>
        </w:rPr>
        <w:tab/>
      </w:r>
      <w:r w:rsidR="00900A0E" w:rsidRPr="00D20CA8">
        <w:rPr>
          <w:rFonts w:asciiTheme="majorBidi" w:hAnsiTheme="majorBidi" w:cstheme="majorBidi"/>
          <w:sz w:val="24"/>
          <w:szCs w:val="24"/>
        </w:rPr>
        <w:t xml:space="preserve">Consumer Perception, Attitude, and Purchase Decisions </w:t>
      </w:r>
    </w:p>
    <w:p w14:paraId="3D76C175" w14:textId="7777777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Table 6 shows the percentage distribution of religious affiliation. It reveals that 94 percent are Muslims, 5 percent are non-Muslims, 0.50 percent do not believe in any religion. </w:t>
      </w:r>
    </w:p>
    <w:p w14:paraId="0FE88C75" w14:textId="7777777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Table 6: Percentage distribution of religious affiliation</w:t>
      </w:r>
    </w:p>
    <w:tbl>
      <w:tblPr>
        <w:tblStyle w:val="TableGrid"/>
        <w:tblW w:w="0" w:type="auto"/>
        <w:tblLook w:val="04A0" w:firstRow="1" w:lastRow="0" w:firstColumn="1" w:lastColumn="0" w:noHBand="0" w:noVBand="1"/>
      </w:tblPr>
      <w:tblGrid>
        <w:gridCol w:w="3116"/>
        <w:gridCol w:w="3117"/>
        <w:gridCol w:w="3117"/>
      </w:tblGrid>
      <w:tr w:rsidR="00D20CA8" w:rsidRPr="00D20CA8" w14:paraId="0466ACB1" w14:textId="77777777" w:rsidTr="00A047C0">
        <w:tc>
          <w:tcPr>
            <w:tcW w:w="3116" w:type="dxa"/>
          </w:tcPr>
          <w:p w14:paraId="3885A30C" w14:textId="77777777" w:rsidR="00405C79" w:rsidRPr="00D20CA8" w:rsidRDefault="00405C79" w:rsidP="005C0E20">
            <w:pPr>
              <w:jc w:val="lowKashida"/>
              <w:rPr>
                <w:rFonts w:asciiTheme="majorBidi" w:hAnsiTheme="majorBidi" w:cstheme="majorBidi"/>
                <w:sz w:val="24"/>
                <w:szCs w:val="24"/>
              </w:rPr>
            </w:pPr>
          </w:p>
        </w:tc>
        <w:tc>
          <w:tcPr>
            <w:tcW w:w="3117" w:type="dxa"/>
          </w:tcPr>
          <w:p w14:paraId="79CCCB96"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Percentage </w:t>
            </w:r>
          </w:p>
        </w:tc>
        <w:tc>
          <w:tcPr>
            <w:tcW w:w="3117" w:type="dxa"/>
          </w:tcPr>
          <w:p w14:paraId="40AB3D97"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Frequency</w:t>
            </w:r>
          </w:p>
        </w:tc>
      </w:tr>
      <w:tr w:rsidR="00D20CA8" w:rsidRPr="00D20CA8" w14:paraId="1EA4652C" w14:textId="77777777" w:rsidTr="00A047C0">
        <w:tc>
          <w:tcPr>
            <w:tcW w:w="3116" w:type="dxa"/>
          </w:tcPr>
          <w:p w14:paraId="71FBA5D0"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Muslim</w:t>
            </w:r>
          </w:p>
        </w:tc>
        <w:tc>
          <w:tcPr>
            <w:tcW w:w="3117" w:type="dxa"/>
          </w:tcPr>
          <w:p w14:paraId="5E152082"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94.28</w:t>
            </w:r>
          </w:p>
        </w:tc>
        <w:tc>
          <w:tcPr>
            <w:tcW w:w="3117" w:type="dxa"/>
          </w:tcPr>
          <w:p w14:paraId="6B8D167B"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379</w:t>
            </w:r>
          </w:p>
        </w:tc>
      </w:tr>
      <w:tr w:rsidR="00D20CA8" w:rsidRPr="00D20CA8" w14:paraId="7789E203" w14:textId="77777777" w:rsidTr="00A047C0">
        <w:tc>
          <w:tcPr>
            <w:tcW w:w="3116" w:type="dxa"/>
          </w:tcPr>
          <w:p w14:paraId="23C9FF76"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Non-Muslim</w:t>
            </w:r>
          </w:p>
        </w:tc>
        <w:tc>
          <w:tcPr>
            <w:tcW w:w="3117" w:type="dxa"/>
          </w:tcPr>
          <w:p w14:paraId="175A075E"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5.22</w:t>
            </w:r>
          </w:p>
        </w:tc>
        <w:tc>
          <w:tcPr>
            <w:tcW w:w="3117" w:type="dxa"/>
          </w:tcPr>
          <w:p w14:paraId="73D96F25"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21</w:t>
            </w:r>
          </w:p>
        </w:tc>
      </w:tr>
      <w:tr w:rsidR="00D20CA8" w:rsidRPr="00D20CA8" w14:paraId="68269BC5" w14:textId="77777777" w:rsidTr="00A047C0">
        <w:trPr>
          <w:trHeight w:val="20"/>
        </w:trPr>
        <w:tc>
          <w:tcPr>
            <w:tcW w:w="3116" w:type="dxa"/>
            <w:noWrap/>
          </w:tcPr>
          <w:p w14:paraId="7FB08BCA"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Non-believers </w:t>
            </w:r>
          </w:p>
        </w:tc>
        <w:tc>
          <w:tcPr>
            <w:tcW w:w="3117" w:type="dxa"/>
            <w:noWrap/>
          </w:tcPr>
          <w:p w14:paraId="32EFCA95"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0.50</w:t>
            </w:r>
          </w:p>
        </w:tc>
        <w:tc>
          <w:tcPr>
            <w:tcW w:w="3117" w:type="dxa"/>
            <w:noWrap/>
          </w:tcPr>
          <w:p w14:paraId="343B75E5"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2</w:t>
            </w:r>
          </w:p>
        </w:tc>
      </w:tr>
    </w:tbl>
    <w:p w14:paraId="323BBB1A" w14:textId="77777777" w:rsidR="00405C79" w:rsidRPr="00D20CA8" w:rsidRDefault="00405C79" w:rsidP="005C0E20">
      <w:pPr>
        <w:jc w:val="lowKashida"/>
        <w:rPr>
          <w:rFonts w:asciiTheme="majorBidi" w:hAnsiTheme="majorBidi" w:cstheme="majorBidi"/>
          <w:sz w:val="24"/>
          <w:szCs w:val="24"/>
        </w:rPr>
      </w:pPr>
    </w:p>
    <w:p w14:paraId="0CE652DF" w14:textId="35417F91"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Tables 7 and 8 in the study provide insights into the significance of religious, ethical, and cultural values in purchasing decisions. Table 7 indicates that for most respondents, religious values are moderately important (47%) or very important (27%) in their purchase choices. Similarly, </w:t>
      </w:r>
      <w:r w:rsidR="00F436A1">
        <w:rPr>
          <w:rFonts w:asciiTheme="majorBidi" w:hAnsiTheme="majorBidi" w:cstheme="majorBidi"/>
          <w:sz w:val="24"/>
          <w:szCs w:val="24"/>
        </w:rPr>
        <w:t>about 42% find religious values moderately important in waste minimization</w:t>
      </w:r>
      <w:r w:rsidRPr="00D20CA8">
        <w:rPr>
          <w:rFonts w:asciiTheme="majorBidi" w:hAnsiTheme="majorBidi" w:cstheme="majorBidi"/>
          <w:sz w:val="24"/>
          <w:szCs w:val="24"/>
        </w:rPr>
        <w:t>, and 34% consider them very important. Islamic principles align with CE ideals, emphasizing cleanliness, waste reduction, environmental care, modest living, and resource sharing.</w:t>
      </w:r>
    </w:p>
    <w:p w14:paraId="2FCE3164" w14:textId="005A38DA"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The survey also reveals that durability is moderately important for 55% of respondents, environmental factors for 52%, and price for 53% when </w:t>
      </w:r>
      <w:r w:rsidR="00F436A1">
        <w:rPr>
          <w:rFonts w:asciiTheme="majorBidi" w:hAnsiTheme="majorBidi" w:cstheme="majorBidi"/>
          <w:sz w:val="24"/>
          <w:szCs w:val="24"/>
        </w:rPr>
        <w:t>purchasing</w:t>
      </w:r>
      <w:r w:rsidRPr="00D20CA8">
        <w:rPr>
          <w:rFonts w:asciiTheme="majorBidi" w:hAnsiTheme="majorBidi" w:cstheme="majorBidi"/>
          <w:sz w:val="24"/>
          <w:szCs w:val="24"/>
        </w:rPr>
        <w:t xml:space="preserve">. This suggests consumers value price alongside durability and environmental considerations, indicating that eco-friendly products should be competitively priced. Regarding repair services, 52% find the availability of repair services moderately important, while 25% consider it very important, highlighting the influence of </w:t>
      </w:r>
      <w:r w:rsidR="00F436A1">
        <w:rPr>
          <w:rFonts w:asciiTheme="majorBidi" w:hAnsiTheme="majorBidi" w:cstheme="majorBidi"/>
          <w:sz w:val="24"/>
          <w:szCs w:val="24"/>
        </w:rPr>
        <w:t>their</w:t>
      </w:r>
      <w:r w:rsidRPr="00D20CA8">
        <w:rPr>
          <w:rFonts w:asciiTheme="majorBidi" w:hAnsiTheme="majorBidi" w:cstheme="majorBidi"/>
          <w:sz w:val="24"/>
          <w:szCs w:val="24"/>
        </w:rPr>
        <w:t xml:space="preserve"> availability on consumer engagement in repair practices.</w:t>
      </w:r>
    </w:p>
    <w:p w14:paraId="643FA5BF" w14:textId="7777777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Table 7 Consumer perception, attitude, and purchase decisions</w:t>
      </w:r>
    </w:p>
    <w:tbl>
      <w:tblPr>
        <w:tblStyle w:val="TableGrid"/>
        <w:tblW w:w="0" w:type="auto"/>
        <w:tblLook w:val="04A0" w:firstRow="1" w:lastRow="0" w:firstColumn="1" w:lastColumn="0" w:noHBand="0" w:noVBand="1"/>
      </w:tblPr>
      <w:tblGrid>
        <w:gridCol w:w="3865"/>
        <w:gridCol w:w="1070"/>
        <w:gridCol w:w="1191"/>
        <w:gridCol w:w="900"/>
        <w:gridCol w:w="1188"/>
        <w:gridCol w:w="1088"/>
      </w:tblGrid>
      <w:tr w:rsidR="00D20CA8" w:rsidRPr="00E21143" w14:paraId="76E5E851" w14:textId="77777777" w:rsidTr="00A047C0">
        <w:tc>
          <w:tcPr>
            <w:tcW w:w="3865" w:type="dxa"/>
          </w:tcPr>
          <w:p w14:paraId="1AA480E8" w14:textId="4D65BAB7" w:rsidR="00405C79" w:rsidRPr="00E21143" w:rsidRDefault="00900A0E" w:rsidP="005C0E20">
            <w:pPr>
              <w:jc w:val="lowKashida"/>
              <w:rPr>
                <w:rFonts w:asciiTheme="majorBidi" w:hAnsiTheme="majorBidi" w:cstheme="majorBidi"/>
                <w:sz w:val="20"/>
                <w:szCs w:val="20"/>
              </w:rPr>
            </w:pPr>
            <w:r w:rsidRPr="00E21143">
              <w:rPr>
                <w:rFonts w:asciiTheme="majorBidi" w:hAnsiTheme="majorBidi" w:cstheme="majorBidi"/>
                <w:sz w:val="20"/>
                <w:szCs w:val="20"/>
              </w:rPr>
              <w:tab/>
            </w:r>
          </w:p>
        </w:tc>
        <w:tc>
          <w:tcPr>
            <w:tcW w:w="1070" w:type="dxa"/>
          </w:tcPr>
          <w:p w14:paraId="33F20266"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Not important at all</w:t>
            </w:r>
          </w:p>
        </w:tc>
        <w:tc>
          <w:tcPr>
            <w:tcW w:w="1191" w:type="dxa"/>
          </w:tcPr>
          <w:p w14:paraId="6652CCC8"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Slightly important</w:t>
            </w:r>
          </w:p>
        </w:tc>
        <w:tc>
          <w:tcPr>
            <w:tcW w:w="900" w:type="dxa"/>
          </w:tcPr>
          <w:p w14:paraId="11870AAC"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Neutral</w:t>
            </w:r>
          </w:p>
        </w:tc>
        <w:tc>
          <w:tcPr>
            <w:tcW w:w="1188" w:type="dxa"/>
          </w:tcPr>
          <w:p w14:paraId="04B11F30"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Moderately important</w:t>
            </w:r>
          </w:p>
        </w:tc>
        <w:tc>
          <w:tcPr>
            <w:tcW w:w="1088" w:type="dxa"/>
          </w:tcPr>
          <w:p w14:paraId="1A06187B"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Very important</w:t>
            </w:r>
          </w:p>
        </w:tc>
      </w:tr>
      <w:tr w:rsidR="00D20CA8" w:rsidRPr="00E21143" w14:paraId="68377E82" w14:textId="77777777" w:rsidTr="00A047C0">
        <w:tc>
          <w:tcPr>
            <w:tcW w:w="3865" w:type="dxa"/>
          </w:tcPr>
          <w:p w14:paraId="6D0E701F"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i/>
                <w:iCs/>
                <w:sz w:val="20"/>
                <w:szCs w:val="20"/>
              </w:rPr>
              <w:lastRenderedPageBreak/>
              <w:t>Importance of religious teachings while making purchase decisions</w:t>
            </w:r>
          </w:p>
        </w:tc>
        <w:tc>
          <w:tcPr>
            <w:tcW w:w="1070" w:type="dxa"/>
          </w:tcPr>
          <w:p w14:paraId="5DF04979"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1.74</w:t>
            </w:r>
          </w:p>
        </w:tc>
        <w:tc>
          <w:tcPr>
            <w:tcW w:w="1191" w:type="dxa"/>
          </w:tcPr>
          <w:p w14:paraId="663F9CAB"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11.94</w:t>
            </w:r>
          </w:p>
        </w:tc>
        <w:tc>
          <w:tcPr>
            <w:tcW w:w="900" w:type="dxa"/>
          </w:tcPr>
          <w:p w14:paraId="316A33AC"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11.94</w:t>
            </w:r>
          </w:p>
        </w:tc>
        <w:tc>
          <w:tcPr>
            <w:tcW w:w="1188" w:type="dxa"/>
          </w:tcPr>
          <w:p w14:paraId="524D285F"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47.01</w:t>
            </w:r>
          </w:p>
        </w:tc>
        <w:tc>
          <w:tcPr>
            <w:tcW w:w="1088" w:type="dxa"/>
          </w:tcPr>
          <w:p w14:paraId="7512AB03"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27.36</w:t>
            </w:r>
          </w:p>
        </w:tc>
      </w:tr>
      <w:tr w:rsidR="00D20CA8" w:rsidRPr="00E21143" w14:paraId="480EBF2A" w14:textId="77777777" w:rsidTr="00A047C0">
        <w:tc>
          <w:tcPr>
            <w:tcW w:w="3865" w:type="dxa"/>
          </w:tcPr>
          <w:p w14:paraId="33FD3B23"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i/>
                <w:iCs/>
                <w:sz w:val="20"/>
                <w:szCs w:val="20"/>
              </w:rPr>
              <w:t>Importance of religious teaching about minimizing waste.</w:t>
            </w:r>
          </w:p>
        </w:tc>
        <w:tc>
          <w:tcPr>
            <w:tcW w:w="1070" w:type="dxa"/>
          </w:tcPr>
          <w:p w14:paraId="14D27580"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1.49</w:t>
            </w:r>
          </w:p>
        </w:tc>
        <w:tc>
          <w:tcPr>
            <w:tcW w:w="1191" w:type="dxa"/>
          </w:tcPr>
          <w:p w14:paraId="68F2636C"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13.68</w:t>
            </w:r>
          </w:p>
        </w:tc>
        <w:tc>
          <w:tcPr>
            <w:tcW w:w="900" w:type="dxa"/>
          </w:tcPr>
          <w:p w14:paraId="35DD21B8"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9.20</w:t>
            </w:r>
          </w:p>
        </w:tc>
        <w:tc>
          <w:tcPr>
            <w:tcW w:w="1188" w:type="dxa"/>
          </w:tcPr>
          <w:p w14:paraId="7F635081"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41.79</w:t>
            </w:r>
          </w:p>
        </w:tc>
        <w:tc>
          <w:tcPr>
            <w:tcW w:w="1088" w:type="dxa"/>
          </w:tcPr>
          <w:p w14:paraId="20145BB4"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33.83</w:t>
            </w:r>
          </w:p>
        </w:tc>
      </w:tr>
      <w:tr w:rsidR="00D20CA8" w:rsidRPr="00E21143" w14:paraId="3971A89A" w14:textId="77777777" w:rsidTr="00A047C0">
        <w:tc>
          <w:tcPr>
            <w:tcW w:w="3865" w:type="dxa"/>
          </w:tcPr>
          <w:p w14:paraId="78C87FA0"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i/>
                <w:iCs/>
                <w:sz w:val="20"/>
                <w:szCs w:val="20"/>
              </w:rPr>
              <w:t>Importance of religious teaching in caring for the environment</w:t>
            </w:r>
          </w:p>
        </w:tc>
        <w:tc>
          <w:tcPr>
            <w:tcW w:w="1070" w:type="dxa"/>
          </w:tcPr>
          <w:p w14:paraId="3ED5275E"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0.75</w:t>
            </w:r>
          </w:p>
        </w:tc>
        <w:tc>
          <w:tcPr>
            <w:tcW w:w="1191" w:type="dxa"/>
          </w:tcPr>
          <w:p w14:paraId="12541FF0"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19.65</w:t>
            </w:r>
          </w:p>
        </w:tc>
        <w:tc>
          <w:tcPr>
            <w:tcW w:w="900" w:type="dxa"/>
          </w:tcPr>
          <w:p w14:paraId="4059E50C"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7.46</w:t>
            </w:r>
          </w:p>
        </w:tc>
        <w:tc>
          <w:tcPr>
            <w:tcW w:w="1188" w:type="dxa"/>
          </w:tcPr>
          <w:p w14:paraId="53B4D34D"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37.56</w:t>
            </w:r>
          </w:p>
        </w:tc>
        <w:tc>
          <w:tcPr>
            <w:tcW w:w="1088" w:type="dxa"/>
          </w:tcPr>
          <w:p w14:paraId="5B1B17EC"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34.58</w:t>
            </w:r>
          </w:p>
        </w:tc>
      </w:tr>
      <w:tr w:rsidR="00D20CA8" w:rsidRPr="00E21143" w14:paraId="24FD27DC" w14:textId="77777777" w:rsidTr="00A047C0">
        <w:tc>
          <w:tcPr>
            <w:tcW w:w="3865" w:type="dxa"/>
          </w:tcPr>
          <w:p w14:paraId="585DFD0D"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i/>
                <w:iCs/>
                <w:sz w:val="20"/>
                <w:szCs w:val="20"/>
              </w:rPr>
              <w:t>The importance of durability while making purchase decisions</w:t>
            </w:r>
          </w:p>
        </w:tc>
        <w:tc>
          <w:tcPr>
            <w:tcW w:w="1070" w:type="dxa"/>
          </w:tcPr>
          <w:p w14:paraId="28C1C526"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0.00</w:t>
            </w:r>
          </w:p>
        </w:tc>
        <w:tc>
          <w:tcPr>
            <w:tcW w:w="1191" w:type="dxa"/>
          </w:tcPr>
          <w:p w14:paraId="2CB50C16"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6.22</w:t>
            </w:r>
          </w:p>
        </w:tc>
        <w:tc>
          <w:tcPr>
            <w:tcW w:w="900" w:type="dxa"/>
          </w:tcPr>
          <w:p w14:paraId="389D7432"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11.69</w:t>
            </w:r>
          </w:p>
        </w:tc>
        <w:tc>
          <w:tcPr>
            <w:tcW w:w="1188" w:type="dxa"/>
          </w:tcPr>
          <w:p w14:paraId="0B7F7197"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54.98</w:t>
            </w:r>
          </w:p>
        </w:tc>
        <w:tc>
          <w:tcPr>
            <w:tcW w:w="1088" w:type="dxa"/>
          </w:tcPr>
          <w:p w14:paraId="33357603"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27.11</w:t>
            </w:r>
          </w:p>
        </w:tc>
      </w:tr>
      <w:tr w:rsidR="00D20CA8" w:rsidRPr="00E21143" w14:paraId="12717316" w14:textId="77777777" w:rsidTr="00A047C0">
        <w:tc>
          <w:tcPr>
            <w:tcW w:w="3865" w:type="dxa"/>
          </w:tcPr>
          <w:p w14:paraId="1EEEE370"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i/>
                <w:iCs/>
                <w:sz w:val="20"/>
                <w:szCs w:val="20"/>
              </w:rPr>
              <w:t>The importance of environmental factors while making purchase decisions</w:t>
            </w:r>
          </w:p>
        </w:tc>
        <w:tc>
          <w:tcPr>
            <w:tcW w:w="1070" w:type="dxa"/>
          </w:tcPr>
          <w:p w14:paraId="4D980239"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0.25</w:t>
            </w:r>
          </w:p>
        </w:tc>
        <w:tc>
          <w:tcPr>
            <w:tcW w:w="1191" w:type="dxa"/>
          </w:tcPr>
          <w:p w14:paraId="5B9A29EF"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14.93</w:t>
            </w:r>
          </w:p>
        </w:tc>
        <w:tc>
          <w:tcPr>
            <w:tcW w:w="900" w:type="dxa"/>
          </w:tcPr>
          <w:p w14:paraId="44479EE0"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13.93</w:t>
            </w:r>
          </w:p>
        </w:tc>
        <w:tc>
          <w:tcPr>
            <w:tcW w:w="1188" w:type="dxa"/>
          </w:tcPr>
          <w:p w14:paraId="0AA6C42E"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51.99</w:t>
            </w:r>
          </w:p>
        </w:tc>
        <w:tc>
          <w:tcPr>
            <w:tcW w:w="1088" w:type="dxa"/>
          </w:tcPr>
          <w:p w14:paraId="3AC0D328"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18.91</w:t>
            </w:r>
          </w:p>
        </w:tc>
      </w:tr>
      <w:tr w:rsidR="00D20CA8" w:rsidRPr="00E21143" w14:paraId="340329D0" w14:textId="77777777" w:rsidTr="00A047C0">
        <w:tc>
          <w:tcPr>
            <w:tcW w:w="3865" w:type="dxa"/>
          </w:tcPr>
          <w:p w14:paraId="2558C665" w14:textId="77777777" w:rsidR="00405C79" w:rsidRPr="00E21143" w:rsidRDefault="00405C79" w:rsidP="005C0E20">
            <w:pPr>
              <w:jc w:val="lowKashida"/>
              <w:rPr>
                <w:rFonts w:asciiTheme="majorBidi" w:hAnsiTheme="majorBidi" w:cstheme="majorBidi"/>
                <w:i/>
                <w:iCs/>
                <w:sz w:val="20"/>
                <w:szCs w:val="20"/>
              </w:rPr>
            </w:pPr>
            <w:r w:rsidRPr="00E21143">
              <w:rPr>
                <w:rFonts w:asciiTheme="majorBidi" w:hAnsiTheme="majorBidi" w:cstheme="majorBidi"/>
                <w:i/>
                <w:iCs/>
                <w:sz w:val="20"/>
                <w:szCs w:val="20"/>
              </w:rPr>
              <w:t>The importance of price while making purchase decisions</w:t>
            </w:r>
          </w:p>
        </w:tc>
        <w:tc>
          <w:tcPr>
            <w:tcW w:w="1070" w:type="dxa"/>
          </w:tcPr>
          <w:p w14:paraId="59BFDB65"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0.00</w:t>
            </w:r>
          </w:p>
        </w:tc>
        <w:tc>
          <w:tcPr>
            <w:tcW w:w="1191" w:type="dxa"/>
          </w:tcPr>
          <w:p w14:paraId="30508F34"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11.19</w:t>
            </w:r>
          </w:p>
        </w:tc>
        <w:tc>
          <w:tcPr>
            <w:tcW w:w="900" w:type="dxa"/>
          </w:tcPr>
          <w:p w14:paraId="1D928BBE"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7.71</w:t>
            </w:r>
          </w:p>
        </w:tc>
        <w:tc>
          <w:tcPr>
            <w:tcW w:w="1188" w:type="dxa"/>
          </w:tcPr>
          <w:p w14:paraId="1A07C74D"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52.99</w:t>
            </w:r>
          </w:p>
        </w:tc>
        <w:tc>
          <w:tcPr>
            <w:tcW w:w="1088" w:type="dxa"/>
          </w:tcPr>
          <w:p w14:paraId="37758F31"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28.11</w:t>
            </w:r>
          </w:p>
        </w:tc>
      </w:tr>
      <w:tr w:rsidR="00D20CA8" w:rsidRPr="00E21143" w14:paraId="74FC154A" w14:textId="77777777" w:rsidTr="00A047C0">
        <w:tc>
          <w:tcPr>
            <w:tcW w:w="3865" w:type="dxa"/>
          </w:tcPr>
          <w:p w14:paraId="7867D053"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i/>
                <w:iCs/>
                <w:sz w:val="20"/>
                <w:szCs w:val="20"/>
              </w:rPr>
              <w:t>importance of the availability of repair services in Qatar while buying good quality items</w:t>
            </w:r>
          </w:p>
        </w:tc>
        <w:tc>
          <w:tcPr>
            <w:tcW w:w="1070" w:type="dxa"/>
          </w:tcPr>
          <w:p w14:paraId="41AFF018"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1.49</w:t>
            </w:r>
          </w:p>
        </w:tc>
        <w:tc>
          <w:tcPr>
            <w:tcW w:w="1191" w:type="dxa"/>
          </w:tcPr>
          <w:p w14:paraId="159AB0F2"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12.69</w:t>
            </w:r>
          </w:p>
        </w:tc>
        <w:tc>
          <w:tcPr>
            <w:tcW w:w="900" w:type="dxa"/>
          </w:tcPr>
          <w:p w14:paraId="6A8300CA"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8.71</w:t>
            </w:r>
          </w:p>
        </w:tc>
        <w:tc>
          <w:tcPr>
            <w:tcW w:w="1188" w:type="dxa"/>
          </w:tcPr>
          <w:p w14:paraId="3EC22D29"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52.24</w:t>
            </w:r>
          </w:p>
        </w:tc>
        <w:tc>
          <w:tcPr>
            <w:tcW w:w="1088" w:type="dxa"/>
          </w:tcPr>
          <w:p w14:paraId="3A4B4753"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24.88</w:t>
            </w:r>
          </w:p>
        </w:tc>
      </w:tr>
    </w:tbl>
    <w:p w14:paraId="3B34E02D" w14:textId="4075E97B" w:rsidR="00900A0E" w:rsidRPr="00D20CA8" w:rsidRDefault="00900A0E" w:rsidP="005C0E20">
      <w:pPr>
        <w:jc w:val="lowKashida"/>
        <w:rPr>
          <w:rFonts w:asciiTheme="majorBidi" w:hAnsiTheme="majorBidi" w:cstheme="majorBidi"/>
          <w:sz w:val="24"/>
          <w:szCs w:val="24"/>
        </w:rPr>
      </w:pPr>
    </w:p>
    <w:p w14:paraId="7C813F51" w14:textId="759CEB9C"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Respondents were surveyed on the feasibility of living a healthy and comfortable life in Qatar with fewer resources, reflecting everyday circularity. Approximately 49% agreed, 18% strongly agreed that such a lifestyle is achievable, </w:t>
      </w:r>
      <w:r w:rsidR="00F436A1">
        <w:rPr>
          <w:rFonts w:asciiTheme="majorBidi" w:hAnsiTheme="majorBidi" w:cstheme="majorBidi"/>
          <w:sz w:val="24"/>
          <w:szCs w:val="24"/>
        </w:rPr>
        <w:t>and 23% expressed</w:t>
      </w:r>
      <w:r w:rsidRPr="00D20CA8">
        <w:rPr>
          <w:rFonts w:asciiTheme="majorBidi" w:hAnsiTheme="majorBidi" w:cstheme="majorBidi"/>
          <w:sz w:val="24"/>
          <w:szCs w:val="24"/>
        </w:rPr>
        <w:t xml:space="preserve"> indifference. This indicates a willingness among consumers to embrace circular practices for resource conservation and sustainable living in Qatar.</w:t>
      </w:r>
      <w:r w:rsidR="00F436A1">
        <w:rPr>
          <w:rFonts w:asciiTheme="majorBidi" w:hAnsiTheme="majorBidi" w:cstheme="majorBidi"/>
          <w:sz w:val="24"/>
          <w:szCs w:val="24"/>
        </w:rPr>
        <w:t xml:space="preserve"> </w:t>
      </w:r>
      <w:r w:rsidRPr="00D20CA8">
        <w:rPr>
          <w:rFonts w:asciiTheme="majorBidi" w:hAnsiTheme="majorBidi" w:cstheme="majorBidi"/>
          <w:sz w:val="24"/>
          <w:szCs w:val="24"/>
        </w:rPr>
        <w:t>Moreover, respondents emphasized the significance of religious values in environmental care, purchase decisions, and waste minimization. Around 50% agreed, and 28% strongly agreed that environmental stewardship is a religious duty. Additionally, 53% agreed that religious values should guide purchase choices, with 25% strongly supporting this notion, as shown in Table 8.</w:t>
      </w:r>
    </w:p>
    <w:p w14:paraId="05670954" w14:textId="77777777" w:rsidR="00900A0E" w:rsidRPr="00D20CA8" w:rsidRDefault="00900A0E" w:rsidP="005C0E20">
      <w:pPr>
        <w:jc w:val="lowKashida"/>
        <w:rPr>
          <w:rFonts w:asciiTheme="majorBidi" w:hAnsiTheme="majorBidi" w:cstheme="majorBidi"/>
          <w:sz w:val="24"/>
          <w:szCs w:val="24"/>
        </w:rPr>
      </w:pPr>
    </w:p>
    <w:p w14:paraId="5CDD9B94" w14:textId="7777777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Table 8 Consumer perception, attitude, and purchase decisions</w:t>
      </w:r>
    </w:p>
    <w:tbl>
      <w:tblPr>
        <w:tblStyle w:val="TableGrid"/>
        <w:tblW w:w="0" w:type="auto"/>
        <w:tblLook w:val="04A0" w:firstRow="1" w:lastRow="0" w:firstColumn="1" w:lastColumn="0" w:noHBand="0" w:noVBand="1"/>
      </w:tblPr>
      <w:tblGrid>
        <w:gridCol w:w="3741"/>
        <w:gridCol w:w="1419"/>
        <w:gridCol w:w="997"/>
        <w:gridCol w:w="1163"/>
        <w:gridCol w:w="885"/>
        <w:gridCol w:w="1145"/>
      </w:tblGrid>
      <w:tr w:rsidR="00D20CA8" w:rsidRPr="00E21143" w14:paraId="1B97550D" w14:textId="77777777" w:rsidTr="00A047C0">
        <w:tc>
          <w:tcPr>
            <w:tcW w:w="3741" w:type="dxa"/>
          </w:tcPr>
          <w:p w14:paraId="504275FF" w14:textId="6AD4BD70" w:rsidR="00405C79" w:rsidRPr="00E21143" w:rsidRDefault="00900A0E" w:rsidP="005C0E20">
            <w:pPr>
              <w:jc w:val="lowKashida"/>
              <w:rPr>
                <w:rFonts w:asciiTheme="majorBidi" w:hAnsiTheme="majorBidi" w:cstheme="majorBidi"/>
                <w:sz w:val="20"/>
                <w:szCs w:val="20"/>
              </w:rPr>
            </w:pPr>
            <w:r w:rsidRPr="00E21143">
              <w:rPr>
                <w:rFonts w:asciiTheme="majorBidi" w:hAnsiTheme="majorBidi" w:cstheme="majorBidi"/>
                <w:sz w:val="20"/>
                <w:szCs w:val="20"/>
              </w:rPr>
              <w:tab/>
            </w:r>
          </w:p>
        </w:tc>
        <w:tc>
          <w:tcPr>
            <w:tcW w:w="1419" w:type="dxa"/>
          </w:tcPr>
          <w:p w14:paraId="20B593CD"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Strongly disagree.</w:t>
            </w:r>
          </w:p>
        </w:tc>
        <w:tc>
          <w:tcPr>
            <w:tcW w:w="997" w:type="dxa"/>
          </w:tcPr>
          <w:p w14:paraId="70F3E2FB"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Disagree</w:t>
            </w:r>
          </w:p>
        </w:tc>
        <w:tc>
          <w:tcPr>
            <w:tcW w:w="1163" w:type="dxa"/>
          </w:tcPr>
          <w:p w14:paraId="5757AA46"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Undecided</w:t>
            </w:r>
          </w:p>
        </w:tc>
        <w:tc>
          <w:tcPr>
            <w:tcW w:w="885" w:type="dxa"/>
          </w:tcPr>
          <w:p w14:paraId="592C1944"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Agree</w:t>
            </w:r>
          </w:p>
        </w:tc>
        <w:tc>
          <w:tcPr>
            <w:tcW w:w="1145" w:type="dxa"/>
          </w:tcPr>
          <w:p w14:paraId="0BD23DBE"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Strongly agree.</w:t>
            </w:r>
          </w:p>
        </w:tc>
      </w:tr>
      <w:tr w:rsidR="00D20CA8" w:rsidRPr="00E21143" w14:paraId="433DADD0" w14:textId="77777777" w:rsidTr="00A047C0">
        <w:tc>
          <w:tcPr>
            <w:tcW w:w="3741" w:type="dxa"/>
          </w:tcPr>
          <w:p w14:paraId="17A6A1F3"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i/>
                <w:iCs/>
                <w:sz w:val="20"/>
                <w:szCs w:val="20"/>
              </w:rPr>
              <w:t>Possibility of living a healthy and comfortable life in Qatar on fewer resources</w:t>
            </w:r>
          </w:p>
        </w:tc>
        <w:tc>
          <w:tcPr>
            <w:tcW w:w="1419" w:type="dxa"/>
          </w:tcPr>
          <w:p w14:paraId="6E9FB307"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1.74</w:t>
            </w:r>
          </w:p>
        </w:tc>
        <w:tc>
          <w:tcPr>
            <w:tcW w:w="997" w:type="dxa"/>
          </w:tcPr>
          <w:p w14:paraId="7FA405E1"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9.45</w:t>
            </w:r>
          </w:p>
        </w:tc>
        <w:tc>
          <w:tcPr>
            <w:tcW w:w="1163" w:type="dxa"/>
          </w:tcPr>
          <w:p w14:paraId="52829022"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22.64</w:t>
            </w:r>
          </w:p>
        </w:tc>
        <w:tc>
          <w:tcPr>
            <w:tcW w:w="885" w:type="dxa"/>
          </w:tcPr>
          <w:p w14:paraId="75E04AE1"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48.51</w:t>
            </w:r>
          </w:p>
        </w:tc>
        <w:tc>
          <w:tcPr>
            <w:tcW w:w="1145" w:type="dxa"/>
          </w:tcPr>
          <w:p w14:paraId="38A59479"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17.66</w:t>
            </w:r>
          </w:p>
        </w:tc>
      </w:tr>
      <w:tr w:rsidR="00D20CA8" w:rsidRPr="00E21143" w14:paraId="0DC5297D" w14:textId="77777777" w:rsidTr="00A047C0">
        <w:tc>
          <w:tcPr>
            <w:tcW w:w="3741" w:type="dxa"/>
          </w:tcPr>
          <w:p w14:paraId="3041E5D2"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i/>
                <w:iCs/>
                <w:sz w:val="20"/>
                <w:szCs w:val="20"/>
              </w:rPr>
              <w:t>Caring for the environment is part of our religion</w:t>
            </w:r>
          </w:p>
        </w:tc>
        <w:tc>
          <w:tcPr>
            <w:tcW w:w="1419" w:type="dxa"/>
          </w:tcPr>
          <w:p w14:paraId="6B1A7A49"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1.24</w:t>
            </w:r>
          </w:p>
        </w:tc>
        <w:tc>
          <w:tcPr>
            <w:tcW w:w="997" w:type="dxa"/>
          </w:tcPr>
          <w:p w14:paraId="71D229EB"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2.74</w:t>
            </w:r>
          </w:p>
        </w:tc>
        <w:tc>
          <w:tcPr>
            <w:tcW w:w="1163" w:type="dxa"/>
          </w:tcPr>
          <w:p w14:paraId="269F0FB0"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18.16</w:t>
            </w:r>
          </w:p>
        </w:tc>
        <w:tc>
          <w:tcPr>
            <w:tcW w:w="885" w:type="dxa"/>
          </w:tcPr>
          <w:p w14:paraId="3F299B65"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50.25</w:t>
            </w:r>
          </w:p>
        </w:tc>
        <w:tc>
          <w:tcPr>
            <w:tcW w:w="1145" w:type="dxa"/>
          </w:tcPr>
          <w:p w14:paraId="3A3B3DF8"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27.61</w:t>
            </w:r>
          </w:p>
        </w:tc>
      </w:tr>
      <w:tr w:rsidR="00D20CA8" w:rsidRPr="00E21143" w14:paraId="15A98B8D" w14:textId="77777777" w:rsidTr="00A047C0">
        <w:tc>
          <w:tcPr>
            <w:tcW w:w="3741" w:type="dxa"/>
          </w:tcPr>
          <w:p w14:paraId="5FD56472"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i/>
                <w:iCs/>
                <w:sz w:val="20"/>
                <w:szCs w:val="20"/>
              </w:rPr>
              <w:t>We should practice religious values when buying and consuming daily-use products</w:t>
            </w:r>
          </w:p>
        </w:tc>
        <w:tc>
          <w:tcPr>
            <w:tcW w:w="1419" w:type="dxa"/>
          </w:tcPr>
          <w:p w14:paraId="187B408F"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1.49</w:t>
            </w:r>
          </w:p>
        </w:tc>
        <w:tc>
          <w:tcPr>
            <w:tcW w:w="997" w:type="dxa"/>
          </w:tcPr>
          <w:p w14:paraId="4B686AF1"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3.48</w:t>
            </w:r>
          </w:p>
        </w:tc>
        <w:tc>
          <w:tcPr>
            <w:tcW w:w="1163" w:type="dxa"/>
          </w:tcPr>
          <w:p w14:paraId="7FDB73D7"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16.67</w:t>
            </w:r>
          </w:p>
        </w:tc>
        <w:tc>
          <w:tcPr>
            <w:tcW w:w="885" w:type="dxa"/>
          </w:tcPr>
          <w:p w14:paraId="20F80C93"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53.48</w:t>
            </w:r>
          </w:p>
        </w:tc>
        <w:tc>
          <w:tcPr>
            <w:tcW w:w="1145" w:type="dxa"/>
          </w:tcPr>
          <w:p w14:paraId="6707147A"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24.88</w:t>
            </w:r>
          </w:p>
        </w:tc>
      </w:tr>
    </w:tbl>
    <w:p w14:paraId="3D3BC670" w14:textId="77777777" w:rsidR="00900A0E" w:rsidRPr="00D20CA8" w:rsidRDefault="00900A0E" w:rsidP="005C0E20">
      <w:pPr>
        <w:jc w:val="lowKashida"/>
        <w:rPr>
          <w:rFonts w:asciiTheme="majorBidi" w:hAnsiTheme="majorBidi" w:cstheme="majorBidi"/>
          <w:sz w:val="24"/>
          <w:szCs w:val="24"/>
        </w:rPr>
      </w:pPr>
    </w:p>
    <w:p w14:paraId="39387900" w14:textId="638F8F2C"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Table 9 presents insights on recycling and environmental labeling preferences among respondents. Approximately 87% of respondents favor recycling daily used items, while 12% do not. Open responses highlight considerations like resource efficiency and recycling service availability, noting the absence of a strong recycling culture in Qatar compared to countries like Japan.</w:t>
      </w:r>
      <w:r w:rsidR="00F436A1">
        <w:rPr>
          <w:rFonts w:asciiTheme="majorBidi" w:hAnsiTheme="majorBidi" w:cstheme="majorBidi"/>
          <w:sz w:val="24"/>
          <w:szCs w:val="24"/>
        </w:rPr>
        <w:t xml:space="preserve"> </w:t>
      </w:r>
      <w:r w:rsidRPr="00D20CA8">
        <w:rPr>
          <w:rFonts w:asciiTheme="majorBidi" w:hAnsiTheme="majorBidi" w:cstheme="majorBidi"/>
          <w:sz w:val="24"/>
          <w:szCs w:val="24"/>
        </w:rPr>
        <w:t>In terms of eco-labeling, around 35% of respondents express interest in purchasing eco-labeled products. However, 47% prioritize price, quality, and variety over eco-labeling. Only 18% show indifference towards eco-labeling. An open response indicates a preference for eco-labeled products after ensuring satisfaction with price and quality.</w:t>
      </w:r>
    </w:p>
    <w:p w14:paraId="4686C553" w14:textId="77777777" w:rsidR="00900A0E" w:rsidRPr="00D20CA8" w:rsidRDefault="00900A0E" w:rsidP="005C0E20">
      <w:pPr>
        <w:jc w:val="lowKashida"/>
        <w:rPr>
          <w:rFonts w:asciiTheme="majorBidi" w:hAnsiTheme="majorBidi" w:cstheme="majorBidi"/>
          <w:sz w:val="24"/>
          <w:szCs w:val="24"/>
        </w:rPr>
      </w:pPr>
    </w:p>
    <w:p w14:paraId="3B4CD034" w14:textId="7777777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lastRenderedPageBreak/>
        <w:t>Table 9: Percentage distribution of responses to recycling and environmental labeling</w:t>
      </w:r>
    </w:p>
    <w:tbl>
      <w:tblPr>
        <w:tblStyle w:val="TableGrid"/>
        <w:tblpPr w:leftFromText="180" w:rightFromText="180" w:vertAnchor="text" w:horzAnchor="margin" w:tblpY="270"/>
        <w:tblW w:w="9355" w:type="dxa"/>
        <w:tblLook w:val="04A0" w:firstRow="1" w:lastRow="0" w:firstColumn="1" w:lastColumn="0" w:noHBand="0" w:noVBand="1"/>
      </w:tblPr>
      <w:tblGrid>
        <w:gridCol w:w="2155"/>
        <w:gridCol w:w="810"/>
        <w:gridCol w:w="2160"/>
        <w:gridCol w:w="3060"/>
        <w:gridCol w:w="1170"/>
      </w:tblGrid>
      <w:tr w:rsidR="00D20CA8" w:rsidRPr="00E21143" w14:paraId="5A04B073" w14:textId="77777777" w:rsidTr="00A047C0">
        <w:tc>
          <w:tcPr>
            <w:tcW w:w="2155" w:type="dxa"/>
          </w:tcPr>
          <w:p w14:paraId="7A241EEC" w14:textId="77777777" w:rsidR="00405C79" w:rsidRPr="00E21143" w:rsidRDefault="00405C79" w:rsidP="005C0E20">
            <w:pPr>
              <w:jc w:val="lowKashida"/>
              <w:rPr>
                <w:rFonts w:asciiTheme="majorBidi" w:hAnsiTheme="majorBidi" w:cstheme="majorBidi"/>
                <w:sz w:val="20"/>
                <w:szCs w:val="20"/>
              </w:rPr>
            </w:pPr>
          </w:p>
        </w:tc>
        <w:tc>
          <w:tcPr>
            <w:tcW w:w="2970" w:type="dxa"/>
            <w:gridSpan w:val="2"/>
          </w:tcPr>
          <w:p w14:paraId="56C332A1"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Yes</w:t>
            </w:r>
          </w:p>
        </w:tc>
        <w:tc>
          <w:tcPr>
            <w:tcW w:w="3060" w:type="dxa"/>
          </w:tcPr>
          <w:p w14:paraId="197A1DBC"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No</w:t>
            </w:r>
          </w:p>
        </w:tc>
        <w:tc>
          <w:tcPr>
            <w:tcW w:w="1170" w:type="dxa"/>
          </w:tcPr>
          <w:p w14:paraId="7CD38791"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Other</w:t>
            </w:r>
          </w:p>
        </w:tc>
      </w:tr>
      <w:tr w:rsidR="00D20CA8" w:rsidRPr="00E21143" w14:paraId="7B2046A4" w14:textId="77777777" w:rsidTr="00A047C0">
        <w:tc>
          <w:tcPr>
            <w:tcW w:w="2155" w:type="dxa"/>
          </w:tcPr>
          <w:p w14:paraId="00F1FF7A"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Daily used items should be recycled</w:t>
            </w:r>
          </w:p>
        </w:tc>
        <w:tc>
          <w:tcPr>
            <w:tcW w:w="2970" w:type="dxa"/>
            <w:gridSpan w:val="2"/>
          </w:tcPr>
          <w:p w14:paraId="5EE29AAC"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87.06</w:t>
            </w:r>
          </w:p>
        </w:tc>
        <w:tc>
          <w:tcPr>
            <w:tcW w:w="3060" w:type="dxa"/>
          </w:tcPr>
          <w:p w14:paraId="3654B0E5"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12.19</w:t>
            </w:r>
          </w:p>
        </w:tc>
        <w:tc>
          <w:tcPr>
            <w:tcW w:w="1170" w:type="dxa"/>
          </w:tcPr>
          <w:p w14:paraId="6A132285"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0.75</w:t>
            </w:r>
          </w:p>
        </w:tc>
      </w:tr>
      <w:tr w:rsidR="00D20CA8" w:rsidRPr="00E21143" w14:paraId="179940BF" w14:textId="77777777" w:rsidTr="00A047C0">
        <w:tc>
          <w:tcPr>
            <w:tcW w:w="2155" w:type="dxa"/>
          </w:tcPr>
          <w:p w14:paraId="20430B39" w14:textId="77777777" w:rsidR="00405C79" w:rsidRPr="00E21143" w:rsidRDefault="00405C79" w:rsidP="005C0E20">
            <w:pPr>
              <w:jc w:val="lowKashida"/>
              <w:rPr>
                <w:rFonts w:asciiTheme="majorBidi" w:hAnsiTheme="majorBidi" w:cstheme="majorBidi"/>
                <w:i/>
                <w:iCs/>
                <w:sz w:val="20"/>
                <w:szCs w:val="20"/>
              </w:rPr>
            </w:pPr>
          </w:p>
        </w:tc>
        <w:tc>
          <w:tcPr>
            <w:tcW w:w="810" w:type="dxa"/>
          </w:tcPr>
          <w:p w14:paraId="4712571C"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Prefer to buy</w:t>
            </w:r>
          </w:p>
        </w:tc>
        <w:tc>
          <w:tcPr>
            <w:tcW w:w="2160" w:type="dxa"/>
          </w:tcPr>
          <w:p w14:paraId="25A49900"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 xml:space="preserve"> , look for other factors, too.</w:t>
            </w:r>
          </w:p>
        </w:tc>
        <w:tc>
          <w:tcPr>
            <w:tcW w:w="3060" w:type="dxa"/>
          </w:tcPr>
          <w:p w14:paraId="368E67F2"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don't care about environmental labels while shopping</w:t>
            </w:r>
          </w:p>
        </w:tc>
        <w:tc>
          <w:tcPr>
            <w:tcW w:w="1170" w:type="dxa"/>
          </w:tcPr>
          <w:p w14:paraId="10368BAE"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Other</w:t>
            </w:r>
          </w:p>
        </w:tc>
      </w:tr>
      <w:tr w:rsidR="00D20CA8" w:rsidRPr="00E21143" w14:paraId="4A9A774A" w14:textId="77777777" w:rsidTr="00A047C0">
        <w:trPr>
          <w:trHeight w:val="251"/>
        </w:trPr>
        <w:tc>
          <w:tcPr>
            <w:tcW w:w="2155" w:type="dxa"/>
          </w:tcPr>
          <w:p w14:paraId="6D558B24"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i/>
                <w:iCs/>
                <w:sz w:val="20"/>
                <w:szCs w:val="20"/>
              </w:rPr>
              <w:t xml:space="preserve">Attitude toward environmental </w:t>
            </w:r>
            <w:proofErr w:type="spellStart"/>
            <w:r w:rsidRPr="00E21143">
              <w:rPr>
                <w:rFonts w:asciiTheme="majorBidi" w:hAnsiTheme="majorBidi" w:cstheme="majorBidi"/>
                <w:i/>
                <w:iCs/>
                <w:sz w:val="20"/>
                <w:szCs w:val="20"/>
              </w:rPr>
              <w:t>labeling</w:t>
            </w:r>
            <w:proofErr w:type="spellEnd"/>
          </w:p>
        </w:tc>
        <w:tc>
          <w:tcPr>
            <w:tcW w:w="810" w:type="dxa"/>
          </w:tcPr>
          <w:p w14:paraId="05C7E748"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35.32</w:t>
            </w:r>
          </w:p>
        </w:tc>
        <w:tc>
          <w:tcPr>
            <w:tcW w:w="2160" w:type="dxa"/>
          </w:tcPr>
          <w:p w14:paraId="61006ABA"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46.77</w:t>
            </w:r>
          </w:p>
        </w:tc>
        <w:tc>
          <w:tcPr>
            <w:tcW w:w="3060" w:type="dxa"/>
          </w:tcPr>
          <w:p w14:paraId="680B5CE6" w14:textId="77777777" w:rsidR="00405C79" w:rsidRPr="00E21143" w:rsidRDefault="00405C79" w:rsidP="005C0E20">
            <w:pPr>
              <w:jc w:val="lowKashida"/>
              <w:rPr>
                <w:rFonts w:asciiTheme="majorBidi" w:hAnsiTheme="majorBidi" w:cstheme="majorBidi"/>
                <w:b/>
                <w:bCs/>
                <w:sz w:val="20"/>
                <w:szCs w:val="20"/>
              </w:rPr>
            </w:pPr>
            <w:r w:rsidRPr="00E21143">
              <w:rPr>
                <w:rFonts w:asciiTheme="majorBidi" w:hAnsiTheme="majorBidi" w:cstheme="majorBidi"/>
                <w:b/>
                <w:bCs/>
                <w:sz w:val="20"/>
                <w:szCs w:val="20"/>
              </w:rPr>
              <w:t>17.66</w:t>
            </w:r>
          </w:p>
          <w:p w14:paraId="16F7E303" w14:textId="77777777" w:rsidR="00405C79" w:rsidRPr="00E21143" w:rsidRDefault="00405C79" w:rsidP="005C0E20">
            <w:pPr>
              <w:jc w:val="lowKashida"/>
              <w:rPr>
                <w:rFonts w:asciiTheme="majorBidi" w:hAnsiTheme="majorBidi" w:cstheme="majorBidi"/>
                <w:sz w:val="20"/>
                <w:szCs w:val="20"/>
              </w:rPr>
            </w:pPr>
          </w:p>
        </w:tc>
        <w:tc>
          <w:tcPr>
            <w:tcW w:w="1170" w:type="dxa"/>
          </w:tcPr>
          <w:p w14:paraId="3ECC9C71" w14:textId="77777777" w:rsidR="00405C79" w:rsidRPr="00E21143" w:rsidRDefault="00405C79" w:rsidP="005C0E20">
            <w:pPr>
              <w:jc w:val="lowKashida"/>
              <w:rPr>
                <w:rFonts w:asciiTheme="majorBidi" w:hAnsiTheme="majorBidi" w:cstheme="majorBidi"/>
                <w:sz w:val="20"/>
                <w:szCs w:val="20"/>
              </w:rPr>
            </w:pPr>
            <w:r w:rsidRPr="00E21143">
              <w:rPr>
                <w:rFonts w:asciiTheme="majorBidi" w:hAnsiTheme="majorBidi" w:cstheme="majorBidi"/>
                <w:sz w:val="20"/>
                <w:szCs w:val="20"/>
              </w:rPr>
              <w:t>0.25</w:t>
            </w:r>
          </w:p>
        </w:tc>
      </w:tr>
    </w:tbl>
    <w:p w14:paraId="517397A0" w14:textId="7E7471BD"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ab/>
      </w:r>
    </w:p>
    <w:p w14:paraId="42338B48" w14:textId="2D42EFE9" w:rsidR="00900A0E" w:rsidRPr="00D20CA8" w:rsidRDefault="00F3717D" w:rsidP="005C0E20">
      <w:pPr>
        <w:jc w:val="lowKashida"/>
        <w:rPr>
          <w:rFonts w:asciiTheme="majorBidi" w:hAnsiTheme="majorBidi" w:cstheme="majorBidi"/>
          <w:sz w:val="24"/>
          <w:szCs w:val="24"/>
        </w:rPr>
      </w:pPr>
      <w:r w:rsidRPr="00D20CA8">
        <w:rPr>
          <w:rFonts w:asciiTheme="majorBidi" w:hAnsiTheme="majorBidi" w:cstheme="majorBidi"/>
          <w:sz w:val="24"/>
          <w:szCs w:val="24"/>
        </w:rPr>
        <w:t>4.3.3</w:t>
      </w:r>
      <w:r w:rsidRPr="00D20CA8">
        <w:rPr>
          <w:rFonts w:asciiTheme="majorBidi" w:hAnsiTheme="majorBidi" w:cstheme="majorBidi"/>
          <w:sz w:val="24"/>
          <w:szCs w:val="24"/>
        </w:rPr>
        <w:tab/>
      </w:r>
      <w:r w:rsidR="00900A0E" w:rsidRPr="00D20CA8">
        <w:rPr>
          <w:rFonts w:asciiTheme="majorBidi" w:hAnsiTheme="majorBidi" w:cstheme="majorBidi"/>
          <w:sz w:val="24"/>
          <w:szCs w:val="24"/>
        </w:rPr>
        <w:t>Barriers to participation in CE.</w:t>
      </w:r>
    </w:p>
    <w:p w14:paraId="4E730E3D" w14:textId="0131DEA9"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The consumption of environmentally friendly products supports </w:t>
      </w:r>
      <w:r w:rsidR="00EC5CA4">
        <w:rPr>
          <w:rFonts w:asciiTheme="majorBidi" w:hAnsiTheme="majorBidi" w:cstheme="majorBidi"/>
          <w:sz w:val="24"/>
          <w:szCs w:val="24"/>
        </w:rPr>
        <w:t>CE</w:t>
      </w:r>
      <w:r w:rsidRPr="00D20CA8">
        <w:rPr>
          <w:rFonts w:asciiTheme="majorBidi" w:hAnsiTheme="majorBidi" w:cstheme="majorBidi"/>
          <w:sz w:val="24"/>
          <w:szCs w:val="24"/>
        </w:rPr>
        <w:t xml:space="preserve"> strategies. Among participants, approximately 31% identified higher prices as the main deterrent for not purchasing eco-friendly items, while 32% mentioned a lack of variety. In comparison, 26% cited unavailability, and 7% noted insufficient information about repair services as key reasons. Table 7 displays open responses from 10 participants, highlighting concerns such as unclear labeling, indifference towards eco-labeling, and encountering multiple obstacles to eco-friendly shopping. These responses underscore the significance of local perspectives in understanding consumer behavior towards eco-friendly products.</w:t>
      </w:r>
    </w:p>
    <w:p w14:paraId="3421B660" w14:textId="7777777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Table 10 highlights that high prices, limited variety, and unavailability are key factors deterring consumers from eco-friendly shopping. Addressing these issues can meet the demand for environmentally friendly products, as indicated in Table 4. Consumers' preference for replacement over repair is influenced by factors like unavailability of repair services (52%), high repair costs (18%), and affordability (15%), as shown in Table 10. Open responses in Table 7 further emphasize challenges related to repair services, high costs, and irreparable items, leading some consumers to seek repairs outside Qatar. Previously, Table 5 indicates that 77% of consumers have engaged in self-repair at least once, suggesting a reliance on professional repair services in Qatar. Factors like material unavailability, lack of expertise, and time constraints may hinder self-repair efforts, contributing to a culture of replacement over repair and discouraging sustainable practices.</w:t>
      </w:r>
    </w:p>
    <w:p w14:paraId="0C5E5A6B" w14:textId="77777777" w:rsidR="00900A0E" w:rsidRPr="00D20CA8" w:rsidRDefault="00900A0E" w:rsidP="005C0E20">
      <w:pPr>
        <w:jc w:val="lowKashida"/>
        <w:rPr>
          <w:rFonts w:asciiTheme="majorBidi" w:hAnsiTheme="majorBidi" w:cstheme="majorBidi"/>
          <w:sz w:val="24"/>
          <w:szCs w:val="24"/>
        </w:rPr>
      </w:pPr>
    </w:p>
    <w:p w14:paraId="1ABF70AC" w14:textId="7777777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Table 10: Barriers to participation in CE based on consumers' responses.</w:t>
      </w:r>
    </w:p>
    <w:tbl>
      <w:tblPr>
        <w:tblStyle w:val="ListTable6Colorful-Accent3"/>
        <w:tblW w:w="0" w:type="auto"/>
        <w:jc w:val="center"/>
        <w:tblBorders>
          <w:top w:val="single" w:sz="4" w:space="0" w:color="auto"/>
          <w:bottom w:val="single" w:sz="4" w:space="0" w:color="auto"/>
        </w:tblBorders>
        <w:tblLayout w:type="fixed"/>
        <w:tblLook w:val="04A0" w:firstRow="1" w:lastRow="0" w:firstColumn="1" w:lastColumn="0" w:noHBand="0" w:noVBand="1"/>
      </w:tblPr>
      <w:tblGrid>
        <w:gridCol w:w="535"/>
        <w:gridCol w:w="1578"/>
        <w:gridCol w:w="2114"/>
        <w:gridCol w:w="988"/>
        <w:gridCol w:w="1126"/>
        <w:gridCol w:w="584"/>
        <w:gridCol w:w="1530"/>
      </w:tblGrid>
      <w:tr w:rsidR="00D20CA8" w:rsidRPr="00E21143" w14:paraId="03A4DA21" w14:textId="77777777" w:rsidTr="00A047C0">
        <w:trPr>
          <w:cnfStyle w:val="100000000000" w:firstRow="1" w:lastRow="0" w:firstColumn="0" w:lastColumn="0" w:oddVBand="0" w:evenVBand="0" w:oddHBand="0" w:evenHBand="0" w:firstRowFirstColumn="0" w:firstRowLastColumn="0" w:lastRowFirstColumn="0" w:lastRowLastColumn="0"/>
          <w:trHeight w:val="179"/>
          <w:jc w:val="center"/>
        </w:trPr>
        <w:tc>
          <w:tcPr>
            <w:cnfStyle w:val="001000000000" w:firstRow="0" w:lastRow="0" w:firstColumn="1" w:lastColumn="0" w:oddVBand="0" w:evenVBand="0" w:oddHBand="0" w:evenHBand="0" w:firstRowFirstColumn="0" w:firstRowLastColumn="0" w:lastRowFirstColumn="0" w:lastRowLastColumn="0"/>
            <w:tcW w:w="2113" w:type="dxa"/>
            <w:gridSpan w:val="2"/>
            <w:tcBorders>
              <w:top w:val="single" w:sz="4" w:space="0" w:color="auto"/>
              <w:bottom w:val="nil"/>
            </w:tcBorders>
          </w:tcPr>
          <w:p w14:paraId="61C3050E" w14:textId="148E07B3" w:rsidR="00405C79" w:rsidRPr="00E21143" w:rsidRDefault="00900A0E" w:rsidP="005C0E20">
            <w:pPr>
              <w:jc w:val="lowKashida"/>
              <w:rPr>
                <w:rFonts w:asciiTheme="majorBidi" w:hAnsiTheme="majorBidi" w:cstheme="majorBidi"/>
                <w:b w:val="0"/>
                <w:bCs w:val="0"/>
                <w:color w:val="auto"/>
                <w:sz w:val="18"/>
                <w:szCs w:val="18"/>
              </w:rPr>
            </w:pPr>
            <w:r w:rsidRPr="00D20CA8">
              <w:rPr>
                <w:rFonts w:asciiTheme="majorBidi" w:hAnsiTheme="majorBidi" w:cstheme="majorBidi"/>
                <w:sz w:val="24"/>
                <w:szCs w:val="24"/>
              </w:rPr>
              <w:tab/>
            </w:r>
          </w:p>
        </w:tc>
        <w:tc>
          <w:tcPr>
            <w:tcW w:w="2114" w:type="dxa"/>
            <w:tcBorders>
              <w:top w:val="single" w:sz="4" w:space="0" w:color="auto"/>
              <w:bottom w:val="nil"/>
            </w:tcBorders>
          </w:tcPr>
          <w:p w14:paraId="11A5D6BC" w14:textId="77777777" w:rsidR="00405C79" w:rsidRPr="00E21143" w:rsidRDefault="00405C79" w:rsidP="005C0E20">
            <w:pPr>
              <w:jc w:val="lowKashida"/>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18"/>
                <w:szCs w:val="18"/>
              </w:rPr>
            </w:pPr>
          </w:p>
        </w:tc>
        <w:tc>
          <w:tcPr>
            <w:tcW w:w="2114" w:type="dxa"/>
            <w:gridSpan w:val="2"/>
            <w:tcBorders>
              <w:top w:val="single" w:sz="4" w:space="0" w:color="auto"/>
              <w:bottom w:val="nil"/>
            </w:tcBorders>
          </w:tcPr>
          <w:p w14:paraId="222BAC50" w14:textId="77777777" w:rsidR="00405C79" w:rsidRPr="00E21143" w:rsidRDefault="00405C79" w:rsidP="005C0E20">
            <w:pPr>
              <w:jc w:val="lowKashida"/>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 xml:space="preserve">                  Percentage</w:t>
            </w:r>
          </w:p>
        </w:tc>
        <w:tc>
          <w:tcPr>
            <w:tcW w:w="2114" w:type="dxa"/>
            <w:gridSpan w:val="2"/>
            <w:tcBorders>
              <w:top w:val="single" w:sz="4" w:space="0" w:color="auto"/>
              <w:bottom w:val="nil"/>
            </w:tcBorders>
          </w:tcPr>
          <w:p w14:paraId="007E2D84" w14:textId="77777777" w:rsidR="00405C79" w:rsidRPr="00E21143" w:rsidRDefault="00405C79" w:rsidP="005C0E20">
            <w:pPr>
              <w:jc w:val="lowKashida"/>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 xml:space="preserve">       Frequency</w:t>
            </w:r>
          </w:p>
        </w:tc>
      </w:tr>
      <w:tr w:rsidR="00D20CA8" w:rsidRPr="00E21143" w14:paraId="69662F56" w14:textId="77777777" w:rsidTr="00A047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bottom w:val="nil"/>
            </w:tcBorders>
          </w:tcPr>
          <w:p w14:paraId="6650C7CE" w14:textId="77777777" w:rsidR="00405C79" w:rsidRPr="00E21143" w:rsidRDefault="00405C79" w:rsidP="005C0E20">
            <w:pPr>
              <w:jc w:val="lowKashida"/>
              <w:rPr>
                <w:rFonts w:asciiTheme="majorBidi" w:hAnsiTheme="majorBidi" w:cstheme="majorBidi"/>
                <w:color w:val="auto"/>
                <w:sz w:val="18"/>
                <w:szCs w:val="18"/>
              </w:rPr>
            </w:pPr>
            <w:r w:rsidRPr="00E21143">
              <w:rPr>
                <w:rFonts w:asciiTheme="majorBidi" w:hAnsiTheme="majorBidi" w:cstheme="majorBidi"/>
                <w:color w:val="auto"/>
                <w:sz w:val="18"/>
                <w:szCs w:val="18"/>
              </w:rPr>
              <w:t>1</w:t>
            </w:r>
          </w:p>
        </w:tc>
        <w:tc>
          <w:tcPr>
            <w:tcW w:w="7920" w:type="dxa"/>
            <w:gridSpan w:val="6"/>
            <w:tcBorders>
              <w:top w:val="single" w:sz="4" w:space="0" w:color="auto"/>
              <w:bottom w:val="nil"/>
            </w:tcBorders>
            <w:noWrap/>
            <w:hideMark/>
          </w:tcPr>
          <w:p w14:paraId="440E086E" w14:textId="314376AC"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color w:val="auto"/>
                <w:sz w:val="18"/>
                <w:szCs w:val="18"/>
              </w:rPr>
            </w:pPr>
            <w:r w:rsidRPr="00E21143">
              <w:rPr>
                <w:rFonts w:asciiTheme="majorBidi" w:hAnsiTheme="majorBidi" w:cstheme="majorBidi"/>
                <w:i/>
                <w:iCs/>
                <w:color w:val="auto"/>
                <w:sz w:val="18"/>
                <w:szCs w:val="18"/>
              </w:rPr>
              <w:t xml:space="preserve">What is the main reason </w:t>
            </w:r>
            <w:r w:rsidR="00F436A1">
              <w:rPr>
                <w:rFonts w:asciiTheme="majorBidi" w:hAnsiTheme="majorBidi" w:cstheme="majorBidi"/>
                <w:i/>
                <w:iCs/>
                <w:color w:val="auto"/>
                <w:sz w:val="18"/>
                <w:szCs w:val="18"/>
              </w:rPr>
              <w:t>you do not shop</w:t>
            </w:r>
            <w:r w:rsidRPr="00E21143">
              <w:rPr>
                <w:rFonts w:asciiTheme="majorBidi" w:hAnsiTheme="majorBidi" w:cstheme="majorBidi"/>
                <w:i/>
                <w:iCs/>
                <w:color w:val="auto"/>
                <w:sz w:val="18"/>
                <w:szCs w:val="18"/>
              </w:rPr>
              <w:t xml:space="preserve"> for environmentally friendly products in Qatar?</w:t>
            </w:r>
          </w:p>
        </w:tc>
      </w:tr>
      <w:tr w:rsidR="00D20CA8" w:rsidRPr="00E21143" w14:paraId="7FA346D8" w14:textId="77777777" w:rsidTr="00A047C0">
        <w:trPr>
          <w:trHeight w:val="20"/>
          <w:jc w:val="center"/>
        </w:trPr>
        <w:tc>
          <w:tcPr>
            <w:cnfStyle w:val="001000000000" w:firstRow="0" w:lastRow="0" w:firstColumn="1" w:lastColumn="0" w:oddVBand="0" w:evenVBand="0" w:oddHBand="0" w:evenHBand="0" w:firstRowFirstColumn="0" w:firstRowLastColumn="0" w:lastRowFirstColumn="0" w:lastRowLastColumn="0"/>
            <w:tcW w:w="535" w:type="dxa"/>
            <w:tcBorders>
              <w:top w:val="nil"/>
            </w:tcBorders>
          </w:tcPr>
          <w:p w14:paraId="1032EC1C" w14:textId="77777777" w:rsidR="00405C79" w:rsidRPr="00E21143" w:rsidRDefault="00405C79" w:rsidP="005C0E20">
            <w:pPr>
              <w:jc w:val="lowKashida"/>
              <w:rPr>
                <w:rFonts w:asciiTheme="majorBidi" w:hAnsiTheme="majorBidi" w:cstheme="majorBidi"/>
                <w:color w:val="auto"/>
                <w:sz w:val="18"/>
                <w:szCs w:val="18"/>
              </w:rPr>
            </w:pPr>
          </w:p>
        </w:tc>
        <w:tc>
          <w:tcPr>
            <w:tcW w:w="4680" w:type="dxa"/>
            <w:gridSpan w:val="3"/>
            <w:tcBorders>
              <w:top w:val="nil"/>
            </w:tcBorders>
            <w:noWrap/>
            <w:hideMark/>
          </w:tcPr>
          <w:p w14:paraId="0C9896F0"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Lack of information</w:t>
            </w:r>
          </w:p>
        </w:tc>
        <w:tc>
          <w:tcPr>
            <w:tcW w:w="1710" w:type="dxa"/>
            <w:gridSpan w:val="2"/>
            <w:tcBorders>
              <w:top w:val="nil"/>
            </w:tcBorders>
            <w:noWrap/>
            <w:hideMark/>
          </w:tcPr>
          <w:p w14:paraId="54E32178"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7.46%</w:t>
            </w:r>
          </w:p>
        </w:tc>
        <w:tc>
          <w:tcPr>
            <w:tcW w:w="1530" w:type="dxa"/>
            <w:tcBorders>
              <w:top w:val="nil"/>
            </w:tcBorders>
            <w:noWrap/>
            <w:hideMark/>
          </w:tcPr>
          <w:p w14:paraId="2887DFD9"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30</w:t>
            </w:r>
          </w:p>
        </w:tc>
      </w:tr>
      <w:tr w:rsidR="00D20CA8" w:rsidRPr="00E21143" w14:paraId="533E20CF" w14:textId="77777777" w:rsidTr="00A047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35" w:type="dxa"/>
          </w:tcPr>
          <w:p w14:paraId="35E1C375" w14:textId="77777777" w:rsidR="00405C79" w:rsidRPr="00E21143" w:rsidRDefault="00405C79" w:rsidP="005C0E20">
            <w:pPr>
              <w:jc w:val="lowKashida"/>
              <w:rPr>
                <w:rFonts w:asciiTheme="majorBidi" w:hAnsiTheme="majorBidi" w:cstheme="majorBidi"/>
                <w:color w:val="auto"/>
                <w:sz w:val="18"/>
                <w:szCs w:val="18"/>
              </w:rPr>
            </w:pPr>
          </w:p>
        </w:tc>
        <w:tc>
          <w:tcPr>
            <w:tcW w:w="4680" w:type="dxa"/>
            <w:gridSpan w:val="3"/>
            <w:noWrap/>
            <w:hideMark/>
          </w:tcPr>
          <w:p w14:paraId="31142411"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They are mostly not available.</w:t>
            </w:r>
          </w:p>
        </w:tc>
        <w:tc>
          <w:tcPr>
            <w:tcW w:w="1710" w:type="dxa"/>
            <w:gridSpan w:val="2"/>
            <w:noWrap/>
            <w:hideMark/>
          </w:tcPr>
          <w:p w14:paraId="6CB85B5E"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26.62%</w:t>
            </w:r>
          </w:p>
        </w:tc>
        <w:tc>
          <w:tcPr>
            <w:tcW w:w="1530" w:type="dxa"/>
            <w:noWrap/>
            <w:hideMark/>
          </w:tcPr>
          <w:p w14:paraId="77961204"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107</w:t>
            </w:r>
          </w:p>
        </w:tc>
      </w:tr>
      <w:tr w:rsidR="00D20CA8" w:rsidRPr="00E21143" w14:paraId="3BB54076" w14:textId="77777777" w:rsidTr="00A047C0">
        <w:trPr>
          <w:trHeight w:val="20"/>
          <w:jc w:val="center"/>
        </w:trPr>
        <w:tc>
          <w:tcPr>
            <w:cnfStyle w:val="001000000000" w:firstRow="0" w:lastRow="0" w:firstColumn="1" w:lastColumn="0" w:oddVBand="0" w:evenVBand="0" w:oddHBand="0" w:evenHBand="0" w:firstRowFirstColumn="0" w:firstRowLastColumn="0" w:lastRowFirstColumn="0" w:lastRowLastColumn="0"/>
            <w:tcW w:w="535" w:type="dxa"/>
          </w:tcPr>
          <w:p w14:paraId="117D7AB2" w14:textId="77777777" w:rsidR="00405C79" w:rsidRPr="00E21143" w:rsidRDefault="00405C79" w:rsidP="005C0E20">
            <w:pPr>
              <w:jc w:val="lowKashida"/>
              <w:rPr>
                <w:rFonts w:asciiTheme="majorBidi" w:hAnsiTheme="majorBidi" w:cstheme="majorBidi"/>
                <w:color w:val="auto"/>
                <w:sz w:val="18"/>
                <w:szCs w:val="18"/>
              </w:rPr>
            </w:pPr>
          </w:p>
        </w:tc>
        <w:tc>
          <w:tcPr>
            <w:tcW w:w="4680" w:type="dxa"/>
            <w:gridSpan w:val="3"/>
            <w:noWrap/>
            <w:hideMark/>
          </w:tcPr>
          <w:p w14:paraId="15D8BBCF"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They are more expensive than regular items.</w:t>
            </w:r>
          </w:p>
        </w:tc>
        <w:tc>
          <w:tcPr>
            <w:tcW w:w="1710" w:type="dxa"/>
            <w:gridSpan w:val="2"/>
            <w:noWrap/>
            <w:hideMark/>
          </w:tcPr>
          <w:p w14:paraId="36A9B011"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31.09%</w:t>
            </w:r>
          </w:p>
        </w:tc>
        <w:tc>
          <w:tcPr>
            <w:tcW w:w="1530" w:type="dxa"/>
            <w:noWrap/>
            <w:hideMark/>
          </w:tcPr>
          <w:p w14:paraId="26D45B09"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125</w:t>
            </w:r>
          </w:p>
        </w:tc>
      </w:tr>
      <w:tr w:rsidR="00D20CA8" w:rsidRPr="00E21143" w14:paraId="12FAB8BB" w14:textId="77777777" w:rsidTr="00A047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35" w:type="dxa"/>
          </w:tcPr>
          <w:p w14:paraId="3376C0B1" w14:textId="77777777" w:rsidR="00405C79" w:rsidRPr="00E21143" w:rsidRDefault="00405C79" w:rsidP="005C0E20">
            <w:pPr>
              <w:jc w:val="lowKashida"/>
              <w:rPr>
                <w:rFonts w:asciiTheme="majorBidi" w:hAnsiTheme="majorBidi" w:cstheme="majorBidi"/>
                <w:color w:val="auto"/>
                <w:sz w:val="18"/>
                <w:szCs w:val="18"/>
              </w:rPr>
            </w:pPr>
          </w:p>
        </w:tc>
        <w:tc>
          <w:tcPr>
            <w:tcW w:w="4680" w:type="dxa"/>
            <w:gridSpan w:val="3"/>
            <w:noWrap/>
            <w:hideMark/>
          </w:tcPr>
          <w:p w14:paraId="6DCB0743"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Limited variety</w:t>
            </w:r>
          </w:p>
        </w:tc>
        <w:tc>
          <w:tcPr>
            <w:tcW w:w="1710" w:type="dxa"/>
            <w:gridSpan w:val="2"/>
            <w:noWrap/>
            <w:hideMark/>
          </w:tcPr>
          <w:p w14:paraId="20E281B0"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32.34%</w:t>
            </w:r>
          </w:p>
        </w:tc>
        <w:tc>
          <w:tcPr>
            <w:tcW w:w="1530" w:type="dxa"/>
            <w:noWrap/>
            <w:hideMark/>
          </w:tcPr>
          <w:p w14:paraId="2C960997"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130</w:t>
            </w:r>
          </w:p>
        </w:tc>
      </w:tr>
      <w:tr w:rsidR="00D20CA8" w:rsidRPr="00E21143" w14:paraId="441BD67F" w14:textId="77777777" w:rsidTr="00A047C0">
        <w:trPr>
          <w:trHeight w:val="20"/>
          <w:jc w:val="center"/>
        </w:trPr>
        <w:tc>
          <w:tcPr>
            <w:cnfStyle w:val="001000000000" w:firstRow="0" w:lastRow="0" w:firstColumn="1" w:lastColumn="0" w:oddVBand="0" w:evenVBand="0" w:oddHBand="0" w:evenHBand="0" w:firstRowFirstColumn="0" w:firstRowLastColumn="0" w:lastRowFirstColumn="0" w:lastRowLastColumn="0"/>
            <w:tcW w:w="535" w:type="dxa"/>
          </w:tcPr>
          <w:p w14:paraId="378D8D5D" w14:textId="77777777" w:rsidR="00405C79" w:rsidRPr="00E21143" w:rsidRDefault="00405C79" w:rsidP="005C0E20">
            <w:pPr>
              <w:jc w:val="lowKashida"/>
              <w:rPr>
                <w:rFonts w:asciiTheme="majorBidi" w:hAnsiTheme="majorBidi" w:cstheme="majorBidi"/>
                <w:color w:val="auto"/>
                <w:sz w:val="18"/>
                <w:szCs w:val="18"/>
              </w:rPr>
            </w:pPr>
          </w:p>
        </w:tc>
        <w:tc>
          <w:tcPr>
            <w:tcW w:w="4680" w:type="dxa"/>
            <w:gridSpan w:val="3"/>
            <w:noWrap/>
            <w:hideMark/>
          </w:tcPr>
          <w:p w14:paraId="4C7501CD"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Other (please specify)</w:t>
            </w:r>
          </w:p>
        </w:tc>
        <w:tc>
          <w:tcPr>
            <w:tcW w:w="1710" w:type="dxa"/>
            <w:gridSpan w:val="2"/>
            <w:noWrap/>
            <w:hideMark/>
          </w:tcPr>
          <w:p w14:paraId="3FD2E738"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2.49%</w:t>
            </w:r>
          </w:p>
        </w:tc>
        <w:tc>
          <w:tcPr>
            <w:tcW w:w="1530" w:type="dxa"/>
            <w:noWrap/>
            <w:hideMark/>
          </w:tcPr>
          <w:p w14:paraId="18FD2FB4"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10</w:t>
            </w:r>
          </w:p>
        </w:tc>
      </w:tr>
      <w:tr w:rsidR="00D20CA8" w:rsidRPr="00E21143" w14:paraId="489E083F" w14:textId="77777777" w:rsidTr="00A047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35" w:type="dxa"/>
          </w:tcPr>
          <w:p w14:paraId="7B009243" w14:textId="77777777" w:rsidR="00405C79" w:rsidRPr="00E21143" w:rsidRDefault="00405C79" w:rsidP="005C0E20">
            <w:pPr>
              <w:jc w:val="lowKashida"/>
              <w:rPr>
                <w:rFonts w:asciiTheme="majorBidi" w:hAnsiTheme="majorBidi" w:cstheme="majorBidi"/>
                <w:color w:val="auto"/>
                <w:sz w:val="18"/>
                <w:szCs w:val="18"/>
              </w:rPr>
            </w:pPr>
          </w:p>
        </w:tc>
        <w:tc>
          <w:tcPr>
            <w:tcW w:w="7920" w:type="dxa"/>
            <w:gridSpan w:val="6"/>
            <w:noWrap/>
          </w:tcPr>
          <w:p w14:paraId="5FF80328" w14:textId="77777777" w:rsidR="00405C79" w:rsidRPr="00E21143" w:rsidRDefault="00405C79" w:rsidP="005C0E20">
            <w:pPr>
              <w:pStyle w:val="ListParagraph"/>
              <w:numPr>
                <w:ilvl w:val="0"/>
                <w:numId w:val="7"/>
              </w:num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color w:val="auto"/>
                <w:sz w:val="18"/>
                <w:szCs w:val="18"/>
              </w:rPr>
            </w:pPr>
            <w:r w:rsidRPr="00E21143">
              <w:rPr>
                <w:rFonts w:asciiTheme="majorBidi" w:hAnsiTheme="majorBidi" w:cstheme="majorBidi"/>
                <w:i/>
                <w:iCs/>
                <w:color w:val="auto"/>
                <w:sz w:val="18"/>
                <w:szCs w:val="18"/>
              </w:rPr>
              <w:t xml:space="preserve">If it is wallet-friendly, then okay; I must reconsider the decision if it is very expensive. </w:t>
            </w:r>
          </w:p>
        </w:tc>
      </w:tr>
      <w:tr w:rsidR="00D20CA8" w:rsidRPr="00E21143" w14:paraId="2A8A23DA" w14:textId="77777777" w:rsidTr="00A047C0">
        <w:trPr>
          <w:trHeight w:val="20"/>
          <w:jc w:val="center"/>
        </w:trPr>
        <w:tc>
          <w:tcPr>
            <w:cnfStyle w:val="001000000000" w:firstRow="0" w:lastRow="0" w:firstColumn="1" w:lastColumn="0" w:oddVBand="0" w:evenVBand="0" w:oddHBand="0" w:evenHBand="0" w:firstRowFirstColumn="0" w:firstRowLastColumn="0" w:lastRowFirstColumn="0" w:lastRowLastColumn="0"/>
            <w:tcW w:w="535" w:type="dxa"/>
          </w:tcPr>
          <w:p w14:paraId="71AF363F" w14:textId="77777777" w:rsidR="00405C79" w:rsidRPr="00E21143" w:rsidRDefault="00405C79" w:rsidP="005C0E20">
            <w:pPr>
              <w:jc w:val="lowKashida"/>
              <w:rPr>
                <w:rFonts w:asciiTheme="majorBidi" w:hAnsiTheme="majorBidi" w:cstheme="majorBidi"/>
                <w:color w:val="auto"/>
                <w:sz w:val="18"/>
                <w:szCs w:val="18"/>
              </w:rPr>
            </w:pPr>
          </w:p>
        </w:tc>
        <w:tc>
          <w:tcPr>
            <w:tcW w:w="7920" w:type="dxa"/>
            <w:gridSpan w:val="6"/>
            <w:noWrap/>
          </w:tcPr>
          <w:p w14:paraId="69C0F529" w14:textId="77777777" w:rsidR="00405C79" w:rsidRPr="00E21143" w:rsidRDefault="00405C79" w:rsidP="005C0E20">
            <w:pPr>
              <w:pStyle w:val="ListParagraph"/>
              <w:numPr>
                <w:ilvl w:val="0"/>
                <w:numId w:val="7"/>
              </w:num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color w:val="auto"/>
                <w:sz w:val="18"/>
                <w:szCs w:val="18"/>
              </w:rPr>
            </w:pPr>
            <w:r w:rsidRPr="00E21143">
              <w:rPr>
                <w:rFonts w:asciiTheme="majorBidi" w:hAnsiTheme="majorBidi" w:cstheme="majorBidi"/>
                <w:i/>
                <w:iCs/>
                <w:color w:val="auto"/>
                <w:sz w:val="18"/>
                <w:szCs w:val="18"/>
              </w:rPr>
              <w:t xml:space="preserve">All the above </w:t>
            </w:r>
          </w:p>
        </w:tc>
      </w:tr>
      <w:tr w:rsidR="00D20CA8" w:rsidRPr="00E21143" w14:paraId="484D1C01" w14:textId="77777777" w:rsidTr="00A047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35" w:type="dxa"/>
          </w:tcPr>
          <w:p w14:paraId="108E22A3" w14:textId="77777777" w:rsidR="00405C79" w:rsidRPr="00E21143" w:rsidRDefault="00405C79" w:rsidP="005C0E20">
            <w:pPr>
              <w:jc w:val="lowKashida"/>
              <w:rPr>
                <w:rFonts w:asciiTheme="majorBidi" w:hAnsiTheme="majorBidi" w:cstheme="majorBidi"/>
                <w:color w:val="auto"/>
                <w:sz w:val="18"/>
                <w:szCs w:val="18"/>
              </w:rPr>
            </w:pPr>
          </w:p>
        </w:tc>
        <w:tc>
          <w:tcPr>
            <w:tcW w:w="7920" w:type="dxa"/>
            <w:gridSpan w:val="6"/>
            <w:noWrap/>
          </w:tcPr>
          <w:p w14:paraId="37D382C9" w14:textId="77777777" w:rsidR="00405C79" w:rsidRPr="00E21143" w:rsidRDefault="00405C79" w:rsidP="005C0E20">
            <w:pPr>
              <w:pStyle w:val="ListParagraph"/>
              <w:numPr>
                <w:ilvl w:val="0"/>
                <w:numId w:val="7"/>
              </w:num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color w:val="auto"/>
                <w:sz w:val="18"/>
                <w:szCs w:val="18"/>
              </w:rPr>
            </w:pPr>
            <w:r w:rsidRPr="00E21143">
              <w:rPr>
                <w:rFonts w:asciiTheme="majorBidi" w:hAnsiTheme="majorBidi" w:cstheme="majorBidi"/>
                <w:i/>
                <w:iCs/>
                <w:color w:val="auto"/>
                <w:sz w:val="18"/>
                <w:szCs w:val="18"/>
              </w:rPr>
              <w:t xml:space="preserve">Sometimes non-affordable, which is also not financially sustainable </w:t>
            </w:r>
          </w:p>
        </w:tc>
      </w:tr>
      <w:tr w:rsidR="00D20CA8" w:rsidRPr="00E21143" w14:paraId="5CD38C0D" w14:textId="77777777" w:rsidTr="00A047C0">
        <w:trPr>
          <w:trHeight w:val="20"/>
          <w:jc w:val="center"/>
        </w:trPr>
        <w:tc>
          <w:tcPr>
            <w:cnfStyle w:val="001000000000" w:firstRow="0" w:lastRow="0" w:firstColumn="1" w:lastColumn="0" w:oddVBand="0" w:evenVBand="0" w:oddHBand="0" w:evenHBand="0" w:firstRowFirstColumn="0" w:firstRowLastColumn="0" w:lastRowFirstColumn="0" w:lastRowLastColumn="0"/>
            <w:tcW w:w="535" w:type="dxa"/>
          </w:tcPr>
          <w:p w14:paraId="51383B0A" w14:textId="77777777" w:rsidR="00405C79" w:rsidRPr="00E21143" w:rsidRDefault="00405C79" w:rsidP="005C0E20">
            <w:pPr>
              <w:jc w:val="lowKashida"/>
              <w:rPr>
                <w:rFonts w:asciiTheme="majorBidi" w:hAnsiTheme="majorBidi" w:cstheme="majorBidi"/>
                <w:color w:val="auto"/>
                <w:sz w:val="18"/>
                <w:szCs w:val="18"/>
              </w:rPr>
            </w:pPr>
          </w:p>
        </w:tc>
        <w:tc>
          <w:tcPr>
            <w:tcW w:w="7920" w:type="dxa"/>
            <w:gridSpan w:val="6"/>
            <w:noWrap/>
          </w:tcPr>
          <w:p w14:paraId="753DBEF4" w14:textId="77777777" w:rsidR="00405C79" w:rsidRPr="00E21143" w:rsidRDefault="00405C79" w:rsidP="005C0E20">
            <w:pPr>
              <w:pStyle w:val="ListParagraph"/>
              <w:numPr>
                <w:ilvl w:val="0"/>
                <w:numId w:val="7"/>
              </w:num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color w:val="auto"/>
                <w:sz w:val="18"/>
                <w:szCs w:val="18"/>
              </w:rPr>
            </w:pPr>
            <w:r w:rsidRPr="00E21143">
              <w:rPr>
                <w:rFonts w:asciiTheme="majorBidi" w:hAnsiTheme="majorBidi" w:cstheme="majorBidi"/>
                <w:i/>
                <w:iCs/>
                <w:color w:val="auto"/>
                <w:sz w:val="18"/>
                <w:szCs w:val="18"/>
              </w:rPr>
              <w:t xml:space="preserve">Not prominently labeled </w:t>
            </w:r>
          </w:p>
        </w:tc>
      </w:tr>
      <w:tr w:rsidR="00D20CA8" w:rsidRPr="00E21143" w14:paraId="7B893A82" w14:textId="77777777" w:rsidTr="00A047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35" w:type="dxa"/>
          </w:tcPr>
          <w:p w14:paraId="3AB0C0D7" w14:textId="77777777" w:rsidR="00405C79" w:rsidRPr="00E21143" w:rsidRDefault="00405C79" w:rsidP="005C0E20">
            <w:pPr>
              <w:jc w:val="lowKashida"/>
              <w:rPr>
                <w:rFonts w:asciiTheme="majorBidi" w:hAnsiTheme="majorBidi" w:cstheme="majorBidi"/>
                <w:color w:val="auto"/>
                <w:sz w:val="18"/>
                <w:szCs w:val="18"/>
              </w:rPr>
            </w:pPr>
          </w:p>
        </w:tc>
        <w:tc>
          <w:tcPr>
            <w:tcW w:w="7920" w:type="dxa"/>
            <w:gridSpan w:val="6"/>
            <w:noWrap/>
          </w:tcPr>
          <w:p w14:paraId="29E2C416" w14:textId="77777777" w:rsidR="00405C79" w:rsidRPr="00E21143" w:rsidRDefault="00405C79" w:rsidP="005C0E20">
            <w:pPr>
              <w:pStyle w:val="ListParagraph"/>
              <w:numPr>
                <w:ilvl w:val="0"/>
                <w:numId w:val="7"/>
              </w:num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color w:val="auto"/>
                <w:sz w:val="18"/>
                <w:szCs w:val="18"/>
              </w:rPr>
            </w:pPr>
            <w:r w:rsidRPr="00E21143">
              <w:rPr>
                <w:rFonts w:asciiTheme="majorBidi" w:hAnsiTheme="majorBidi" w:cstheme="majorBidi"/>
                <w:i/>
                <w:iCs/>
                <w:color w:val="auto"/>
                <w:sz w:val="18"/>
                <w:szCs w:val="18"/>
              </w:rPr>
              <w:t>I do not care.</w:t>
            </w:r>
          </w:p>
        </w:tc>
      </w:tr>
      <w:tr w:rsidR="00D20CA8" w:rsidRPr="00E21143" w14:paraId="31FE7001" w14:textId="77777777" w:rsidTr="00A047C0">
        <w:trPr>
          <w:trHeight w:val="20"/>
          <w:jc w:val="center"/>
        </w:trPr>
        <w:tc>
          <w:tcPr>
            <w:cnfStyle w:val="001000000000" w:firstRow="0" w:lastRow="0" w:firstColumn="1" w:lastColumn="0" w:oddVBand="0" w:evenVBand="0" w:oddHBand="0" w:evenHBand="0" w:firstRowFirstColumn="0" w:firstRowLastColumn="0" w:lastRowFirstColumn="0" w:lastRowLastColumn="0"/>
            <w:tcW w:w="535" w:type="dxa"/>
          </w:tcPr>
          <w:p w14:paraId="5A96881C" w14:textId="77777777" w:rsidR="00405C79" w:rsidRPr="00E21143" w:rsidRDefault="00405C79" w:rsidP="005C0E20">
            <w:pPr>
              <w:jc w:val="lowKashida"/>
              <w:rPr>
                <w:rFonts w:asciiTheme="majorBidi" w:hAnsiTheme="majorBidi" w:cstheme="majorBidi"/>
                <w:color w:val="auto"/>
                <w:sz w:val="18"/>
                <w:szCs w:val="18"/>
              </w:rPr>
            </w:pPr>
          </w:p>
        </w:tc>
        <w:tc>
          <w:tcPr>
            <w:tcW w:w="7920" w:type="dxa"/>
            <w:gridSpan w:val="6"/>
            <w:noWrap/>
          </w:tcPr>
          <w:p w14:paraId="5BF06FD0" w14:textId="77777777" w:rsidR="00405C79" w:rsidRPr="00E21143" w:rsidRDefault="00405C79" w:rsidP="005C0E20">
            <w:pPr>
              <w:pStyle w:val="ListParagraph"/>
              <w:numPr>
                <w:ilvl w:val="0"/>
                <w:numId w:val="7"/>
              </w:num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color w:val="auto"/>
                <w:sz w:val="18"/>
                <w:szCs w:val="18"/>
              </w:rPr>
            </w:pPr>
            <w:r w:rsidRPr="00E21143">
              <w:rPr>
                <w:rFonts w:asciiTheme="majorBidi" w:hAnsiTheme="majorBidi" w:cstheme="majorBidi"/>
                <w:i/>
                <w:iCs/>
                <w:color w:val="auto"/>
                <w:sz w:val="18"/>
                <w:szCs w:val="18"/>
              </w:rPr>
              <w:t xml:space="preserve">Other reason </w:t>
            </w:r>
          </w:p>
        </w:tc>
      </w:tr>
      <w:tr w:rsidR="00D20CA8" w:rsidRPr="00E21143" w14:paraId="45011D7C" w14:textId="77777777" w:rsidTr="00A047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35" w:type="dxa"/>
          </w:tcPr>
          <w:p w14:paraId="091BB05B" w14:textId="77777777" w:rsidR="00405C79" w:rsidRPr="00E21143" w:rsidRDefault="00405C79" w:rsidP="005C0E20">
            <w:pPr>
              <w:jc w:val="lowKashida"/>
              <w:rPr>
                <w:rFonts w:asciiTheme="majorBidi" w:hAnsiTheme="majorBidi" w:cstheme="majorBidi"/>
                <w:color w:val="auto"/>
                <w:sz w:val="18"/>
                <w:szCs w:val="18"/>
              </w:rPr>
            </w:pPr>
          </w:p>
        </w:tc>
        <w:tc>
          <w:tcPr>
            <w:tcW w:w="7920" w:type="dxa"/>
            <w:gridSpan w:val="6"/>
            <w:noWrap/>
          </w:tcPr>
          <w:p w14:paraId="06494C4F" w14:textId="77777777" w:rsidR="00405C79" w:rsidRPr="00E21143" w:rsidRDefault="00405C79" w:rsidP="005C0E20">
            <w:pPr>
              <w:pStyle w:val="ListParagraph"/>
              <w:numPr>
                <w:ilvl w:val="0"/>
                <w:numId w:val="7"/>
              </w:num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color w:val="auto"/>
                <w:sz w:val="18"/>
                <w:szCs w:val="18"/>
              </w:rPr>
            </w:pPr>
            <w:r w:rsidRPr="00E21143">
              <w:rPr>
                <w:rFonts w:asciiTheme="majorBidi" w:hAnsiTheme="majorBidi" w:cstheme="majorBidi"/>
                <w:i/>
                <w:iCs/>
                <w:color w:val="auto"/>
                <w:sz w:val="18"/>
                <w:szCs w:val="18"/>
              </w:rPr>
              <w:t>I don't look for them.</w:t>
            </w:r>
          </w:p>
        </w:tc>
      </w:tr>
      <w:tr w:rsidR="00D20CA8" w:rsidRPr="00E21143" w14:paraId="2988CAF6" w14:textId="77777777" w:rsidTr="00A047C0">
        <w:trPr>
          <w:trHeight w:val="20"/>
          <w:jc w:val="center"/>
        </w:trPr>
        <w:tc>
          <w:tcPr>
            <w:cnfStyle w:val="001000000000" w:firstRow="0" w:lastRow="0" w:firstColumn="1" w:lastColumn="0" w:oddVBand="0" w:evenVBand="0" w:oddHBand="0" w:evenHBand="0" w:firstRowFirstColumn="0" w:firstRowLastColumn="0" w:lastRowFirstColumn="0" w:lastRowLastColumn="0"/>
            <w:tcW w:w="535" w:type="dxa"/>
          </w:tcPr>
          <w:p w14:paraId="56D4ED05" w14:textId="77777777" w:rsidR="00405C79" w:rsidRPr="00E21143" w:rsidRDefault="00405C79" w:rsidP="005C0E20">
            <w:pPr>
              <w:jc w:val="lowKashida"/>
              <w:rPr>
                <w:rFonts w:asciiTheme="majorBidi" w:hAnsiTheme="majorBidi" w:cstheme="majorBidi"/>
                <w:color w:val="auto"/>
                <w:sz w:val="18"/>
                <w:szCs w:val="18"/>
              </w:rPr>
            </w:pPr>
          </w:p>
        </w:tc>
        <w:tc>
          <w:tcPr>
            <w:tcW w:w="7920" w:type="dxa"/>
            <w:gridSpan w:val="6"/>
            <w:noWrap/>
          </w:tcPr>
          <w:p w14:paraId="4195C3E4" w14:textId="77777777" w:rsidR="00405C79" w:rsidRPr="00E21143" w:rsidRDefault="00405C79" w:rsidP="005C0E20">
            <w:pPr>
              <w:pStyle w:val="ListParagraph"/>
              <w:numPr>
                <w:ilvl w:val="0"/>
                <w:numId w:val="7"/>
              </w:num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color w:val="auto"/>
                <w:sz w:val="18"/>
                <w:szCs w:val="18"/>
              </w:rPr>
            </w:pPr>
            <w:r w:rsidRPr="00E21143">
              <w:rPr>
                <w:rFonts w:asciiTheme="majorBidi" w:hAnsiTheme="majorBidi" w:cstheme="majorBidi"/>
                <w:i/>
                <w:iCs/>
                <w:color w:val="auto"/>
                <w:sz w:val="18"/>
                <w:szCs w:val="18"/>
              </w:rPr>
              <w:t xml:space="preserve">All the factors listed </w:t>
            </w:r>
          </w:p>
        </w:tc>
      </w:tr>
      <w:tr w:rsidR="00D20CA8" w:rsidRPr="00E21143" w14:paraId="43EE40DF" w14:textId="77777777" w:rsidTr="00A047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35" w:type="dxa"/>
          </w:tcPr>
          <w:p w14:paraId="7FDEFDA1" w14:textId="77777777" w:rsidR="00405C79" w:rsidRPr="00E21143" w:rsidRDefault="00405C79" w:rsidP="005C0E20">
            <w:pPr>
              <w:jc w:val="lowKashida"/>
              <w:rPr>
                <w:rFonts w:asciiTheme="majorBidi" w:hAnsiTheme="majorBidi" w:cstheme="majorBidi"/>
                <w:color w:val="auto"/>
                <w:sz w:val="18"/>
                <w:szCs w:val="18"/>
              </w:rPr>
            </w:pPr>
          </w:p>
        </w:tc>
        <w:tc>
          <w:tcPr>
            <w:tcW w:w="7920" w:type="dxa"/>
            <w:gridSpan w:val="6"/>
            <w:noWrap/>
          </w:tcPr>
          <w:p w14:paraId="28B50785" w14:textId="77777777" w:rsidR="00405C79" w:rsidRPr="00E21143" w:rsidRDefault="00405C79" w:rsidP="005C0E20">
            <w:pPr>
              <w:pStyle w:val="ListParagraph"/>
              <w:numPr>
                <w:ilvl w:val="0"/>
                <w:numId w:val="7"/>
              </w:num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color w:val="auto"/>
                <w:sz w:val="18"/>
                <w:szCs w:val="18"/>
              </w:rPr>
            </w:pPr>
            <w:r w:rsidRPr="00E21143">
              <w:rPr>
                <w:rFonts w:asciiTheme="majorBidi" w:hAnsiTheme="majorBidi" w:cstheme="majorBidi"/>
                <w:i/>
                <w:iCs/>
                <w:color w:val="auto"/>
                <w:sz w:val="18"/>
                <w:szCs w:val="18"/>
              </w:rPr>
              <w:t>More expensive and not always clearly labeled</w:t>
            </w:r>
          </w:p>
        </w:tc>
      </w:tr>
      <w:tr w:rsidR="00D20CA8" w:rsidRPr="00E21143" w14:paraId="2007A9E9" w14:textId="77777777" w:rsidTr="00A047C0">
        <w:trPr>
          <w:trHeight w:val="20"/>
          <w:jc w:val="center"/>
        </w:trPr>
        <w:tc>
          <w:tcPr>
            <w:cnfStyle w:val="001000000000" w:firstRow="0" w:lastRow="0" w:firstColumn="1" w:lastColumn="0" w:oddVBand="0" w:evenVBand="0" w:oddHBand="0" w:evenHBand="0" w:firstRowFirstColumn="0" w:firstRowLastColumn="0" w:lastRowFirstColumn="0" w:lastRowLastColumn="0"/>
            <w:tcW w:w="535" w:type="dxa"/>
          </w:tcPr>
          <w:p w14:paraId="263B96C3" w14:textId="77777777" w:rsidR="00405C79" w:rsidRPr="00E21143" w:rsidRDefault="00405C79" w:rsidP="005C0E20">
            <w:pPr>
              <w:jc w:val="lowKashida"/>
              <w:rPr>
                <w:rFonts w:asciiTheme="majorBidi" w:hAnsiTheme="majorBidi" w:cstheme="majorBidi"/>
                <w:color w:val="auto"/>
                <w:sz w:val="18"/>
                <w:szCs w:val="18"/>
              </w:rPr>
            </w:pPr>
          </w:p>
        </w:tc>
        <w:tc>
          <w:tcPr>
            <w:tcW w:w="7920" w:type="dxa"/>
            <w:gridSpan w:val="6"/>
            <w:noWrap/>
          </w:tcPr>
          <w:p w14:paraId="571371F5" w14:textId="77777777" w:rsidR="00405C79" w:rsidRPr="00E21143" w:rsidRDefault="00405C79" w:rsidP="005C0E20">
            <w:pPr>
              <w:pStyle w:val="ListParagraph"/>
              <w:numPr>
                <w:ilvl w:val="0"/>
                <w:numId w:val="7"/>
              </w:num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color w:val="auto"/>
                <w:sz w:val="18"/>
                <w:szCs w:val="18"/>
              </w:rPr>
            </w:pPr>
            <w:r w:rsidRPr="00E21143">
              <w:rPr>
                <w:rFonts w:asciiTheme="majorBidi" w:hAnsiTheme="majorBidi" w:cstheme="majorBidi"/>
                <w:i/>
                <w:iCs/>
                <w:color w:val="auto"/>
                <w:sz w:val="18"/>
                <w:szCs w:val="18"/>
              </w:rPr>
              <w:t>Either too expensive and beyond my budget, or limited variety, sometimes not available nearby, depending on the situation</w:t>
            </w:r>
          </w:p>
        </w:tc>
      </w:tr>
      <w:tr w:rsidR="00D20CA8" w:rsidRPr="00E21143" w14:paraId="69358686" w14:textId="77777777" w:rsidTr="00A047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bottom w:val="nil"/>
            </w:tcBorders>
          </w:tcPr>
          <w:p w14:paraId="610E0451" w14:textId="77777777" w:rsidR="00405C79" w:rsidRPr="00E21143" w:rsidRDefault="00405C79" w:rsidP="005C0E20">
            <w:pPr>
              <w:jc w:val="lowKashida"/>
              <w:rPr>
                <w:rFonts w:asciiTheme="majorBidi" w:hAnsiTheme="majorBidi" w:cstheme="majorBidi"/>
                <w:color w:val="auto"/>
                <w:sz w:val="18"/>
                <w:szCs w:val="18"/>
              </w:rPr>
            </w:pPr>
            <w:r w:rsidRPr="00E21143">
              <w:rPr>
                <w:rFonts w:asciiTheme="majorBidi" w:hAnsiTheme="majorBidi" w:cstheme="majorBidi"/>
                <w:color w:val="auto"/>
                <w:sz w:val="18"/>
                <w:szCs w:val="18"/>
              </w:rPr>
              <w:t>2</w:t>
            </w:r>
          </w:p>
        </w:tc>
        <w:tc>
          <w:tcPr>
            <w:tcW w:w="6390" w:type="dxa"/>
            <w:gridSpan w:val="5"/>
            <w:tcBorders>
              <w:top w:val="single" w:sz="4" w:space="0" w:color="auto"/>
              <w:bottom w:val="nil"/>
            </w:tcBorders>
            <w:noWrap/>
          </w:tcPr>
          <w:p w14:paraId="71C88BDD"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color w:val="auto"/>
                <w:sz w:val="18"/>
                <w:szCs w:val="18"/>
              </w:rPr>
            </w:pPr>
            <w:r w:rsidRPr="00E21143">
              <w:rPr>
                <w:rFonts w:asciiTheme="majorBidi" w:hAnsiTheme="majorBidi" w:cstheme="majorBidi"/>
                <w:i/>
                <w:iCs/>
                <w:color w:val="auto"/>
                <w:sz w:val="18"/>
                <w:szCs w:val="18"/>
              </w:rPr>
              <w:t>The main reason for the replacement</w:t>
            </w:r>
          </w:p>
        </w:tc>
        <w:tc>
          <w:tcPr>
            <w:tcW w:w="1530" w:type="dxa"/>
            <w:tcBorders>
              <w:top w:val="single" w:sz="4" w:space="0" w:color="auto"/>
              <w:bottom w:val="nil"/>
            </w:tcBorders>
            <w:noWrap/>
          </w:tcPr>
          <w:p w14:paraId="35AA8177"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18"/>
                <w:szCs w:val="18"/>
              </w:rPr>
            </w:pPr>
          </w:p>
        </w:tc>
      </w:tr>
      <w:tr w:rsidR="00D20CA8" w:rsidRPr="00E21143" w14:paraId="6F7E4255" w14:textId="77777777" w:rsidTr="00A047C0">
        <w:trPr>
          <w:trHeight w:val="20"/>
          <w:jc w:val="center"/>
        </w:trPr>
        <w:tc>
          <w:tcPr>
            <w:cnfStyle w:val="001000000000" w:firstRow="0" w:lastRow="0" w:firstColumn="1" w:lastColumn="0" w:oddVBand="0" w:evenVBand="0" w:oddHBand="0" w:evenHBand="0" w:firstRowFirstColumn="0" w:firstRowLastColumn="0" w:lastRowFirstColumn="0" w:lastRowLastColumn="0"/>
            <w:tcW w:w="535" w:type="dxa"/>
            <w:tcBorders>
              <w:top w:val="nil"/>
            </w:tcBorders>
          </w:tcPr>
          <w:p w14:paraId="4576A9C8" w14:textId="77777777" w:rsidR="00405C79" w:rsidRPr="00E21143" w:rsidRDefault="00405C79" w:rsidP="005C0E20">
            <w:pPr>
              <w:jc w:val="lowKashida"/>
              <w:rPr>
                <w:rFonts w:asciiTheme="majorBidi" w:hAnsiTheme="majorBidi" w:cstheme="majorBidi"/>
                <w:color w:val="auto"/>
                <w:sz w:val="18"/>
                <w:szCs w:val="18"/>
              </w:rPr>
            </w:pPr>
          </w:p>
        </w:tc>
        <w:tc>
          <w:tcPr>
            <w:tcW w:w="4680" w:type="dxa"/>
            <w:gridSpan w:val="3"/>
            <w:tcBorders>
              <w:top w:val="nil"/>
            </w:tcBorders>
            <w:noWrap/>
            <w:hideMark/>
          </w:tcPr>
          <w:p w14:paraId="745C3518"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High cost of repair</w:t>
            </w:r>
          </w:p>
        </w:tc>
        <w:tc>
          <w:tcPr>
            <w:tcW w:w="1710" w:type="dxa"/>
            <w:gridSpan w:val="2"/>
            <w:tcBorders>
              <w:top w:val="nil"/>
            </w:tcBorders>
            <w:noWrap/>
            <w:hideMark/>
          </w:tcPr>
          <w:p w14:paraId="106DD8F3"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18.41%</w:t>
            </w:r>
          </w:p>
        </w:tc>
        <w:tc>
          <w:tcPr>
            <w:tcW w:w="1530" w:type="dxa"/>
            <w:tcBorders>
              <w:top w:val="nil"/>
            </w:tcBorders>
            <w:noWrap/>
            <w:hideMark/>
          </w:tcPr>
          <w:p w14:paraId="6128A63C"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74</w:t>
            </w:r>
          </w:p>
        </w:tc>
      </w:tr>
      <w:tr w:rsidR="00D20CA8" w:rsidRPr="00E21143" w14:paraId="04DCEA48" w14:textId="77777777" w:rsidTr="00A047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35" w:type="dxa"/>
          </w:tcPr>
          <w:p w14:paraId="59C39E5B" w14:textId="77777777" w:rsidR="00405C79" w:rsidRPr="00E21143" w:rsidRDefault="00405C79" w:rsidP="005C0E20">
            <w:pPr>
              <w:jc w:val="lowKashida"/>
              <w:rPr>
                <w:rFonts w:asciiTheme="majorBidi" w:hAnsiTheme="majorBidi" w:cstheme="majorBidi"/>
                <w:color w:val="auto"/>
                <w:sz w:val="18"/>
                <w:szCs w:val="18"/>
              </w:rPr>
            </w:pPr>
          </w:p>
        </w:tc>
        <w:tc>
          <w:tcPr>
            <w:tcW w:w="4680" w:type="dxa"/>
            <w:gridSpan w:val="3"/>
            <w:noWrap/>
            <w:hideMark/>
          </w:tcPr>
          <w:p w14:paraId="409EDD0E"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I can afford to buy a new one.</w:t>
            </w:r>
          </w:p>
        </w:tc>
        <w:tc>
          <w:tcPr>
            <w:tcW w:w="1710" w:type="dxa"/>
            <w:gridSpan w:val="2"/>
            <w:noWrap/>
            <w:hideMark/>
          </w:tcPr>
          <w:p w14:paraId="29932D51"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15.42%</w:t>
            </w:r>
          </w:p>
        </w:tc>
        <w:tc>
          <w:tcPr>
            <w:tcW w:w="1530" w:type="dxa"/>
            <w:noWrap/>
            <w:hideMark/>
          </w:tcPr>
          <w:p w14:paraId="0E3E3DFE"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62</w:t>
            </w:r>
          </w:p>
        </w:tc>
      </w:tr>
      <w:tr w:rsidR="00D20CA8" w:rsidRPr="00E21143" w14:paraId="711462B6" w14:textId="77777777" w:rsidTr="00A047C0">
        <w:trPr>
          <w:trHeight w:val="20"/>
          <w:jc w:val="center"/>
        </w:trPr>
        <w:tc>
          <w:tcPr>
            <w:cnfStyle w:val="001000000000" w:firstRow="0" w:lastRow="0" w:firstColumn="1" w:lastColumn="0" w:oddVBand="0" w:evenVBand="0" w:oddHBand="0" w:evenHBand="0" w:firstRowFirstColumn="0" w:firstRowLastColumn="0" w:lastRowFirstColumn="0" w:lastRowLastColumn="0"/>
            <w:tcW w:w="535" w:type="dxa"/>
          </w:tcPr>
          <w:p w14:paraId="2A1477B1" w14:textId="77777777" w:rsidR="00405C79" w:rsidRPr="00E21143" w:rsidRDefault="00405C79" w:rsidP="005C0E20">
            <w:pPr>
              <w:jc w:val="lowKashida"/>
              <w:rPr>
                <w:rFonts w:asciiTheme="majorBidi" w:hAnsiTheme="majorBidi" w:cstheme="majorBidi"/>
                <w:color w:val="auto"/>
                <w:sz w:val="18"/>
                <w:szCs w:val="18"/>
              </w:rPr>
            </w:pPr>
          </w:p>
        </w:tc>
        <w:tc>
          <w:tcPr>
            <w:tcW w:w="4680" w:type="dxa"/>
            <w:gridSpan w:val="3"/>
            <w:noWrap/>
            <w:hideMark/>
          </w:tcPr>
          <w:p w14:paraId="6E40893B"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I do not like using repaired products</w:t>
            </w:r>
          </w:p>
        </w:tc>
        <w:tc>
          <w:tcPr>
            <w:tcW w:w="1710" w:type="dxa"/>
            <w:gridSpan w:val="2"/>
            <w:noWrap/>
            <w:hideMark/>
          </w:tcPr>
          <w:p w14:paraId="3CDD84A9"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12.69%</w:t>
            </w:r>
          </w:p>
        </w:tc>
        <w:tc>
          <w:tcPr>
            <w:tcW w:w="1530" w:type="dxa"/>
            <w:noWrap/>
            <w:hideMark/>
          </w:tcPr>
          <w:p w14:paraId="19371459"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51</w:t>
            </w:r>
          </w:p>
        </w:tc>
      </w:tr>
      <w:tr w:rsidR="00D20CA8" w:rsidRPr="00E21143" w14:paraId="52BD3CBE" w14:textId="77777777" w:rsidTr="00A047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35" w:type="dxa"/>
          </w:tcPr>
          <w:p w14:paraId="361BCBCA" w14:textId="77777777" w:rsidR="00405C79" w:rsidRPr="00E21143" w:rsidRDefault="00405C79" w:rsidP="005C0E20">
            <w:pPr>
              <w:jc w:val="lowKashida"/>
              <w:rPr>
                <w:rFonts w:asciiTheme="majorBidi" w:hAnsiTheme="majorBidi" w:cstheme="majorBidi"/>
                <w:color w:val="auto"/>
                <w:sz w:val="18"/>
                <w:szCs w:val="18"/>
              </w:rPr>
            </w:pPr>
          </w:p>
        </w:tc>
        <w:tc>
          <w:tcPr>
            <w:tcW w:w="4680" w:type="dxa"/>
            <w:gridSpan w:val="3"/>
            <w:noWrap/>
            <w:hideMark/>
          </w:tcPr>
          <w:p w14:paraId="6365DEF8"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Unavailability of repair service in the region</w:t>
            </w:r>
          </w:p>
        </w:tc>
        <w:tc>
          <w:tcPr>
            <w:tcW w:w="1710" w:type="dxa"/>
            <w:gridSpan w:val="2"/>
            <w:noWrap/>
            <w:hideMark/>
          </w:tcPr>
          <w:p w14:paraId="5627C116"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52.24%</w:t>
            </w:r>
          </w:p>
        </w:tc>
        <w:tc>
          <w:tcPr>
            <w:tcW w:w="1530" w:type="dxa"/>
            <w:noWrap/>
            <w:hideMark/>
          </w:tcPr>
          <w:p w14:paraId="4E273F89"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210</w:t>
            </w:r>
          </w:p>
        </w:tc>
      </w:tr>
      <w:tr w:rsidR="00D20CA8" w:rsidRPr="00E21143" w14:paraId="010D9841" w14:textId="77777777" w:rsidTr="00A047C0">
        <w:trPr>
          <w:trHeight w:val="20"/>
          <w:jc w:val="center"/>
        </w:trPr>
        <w:tc>
          <w:tcPr>
            <w:cnfStyle w:val="001000000000" w:firstRow="0" w:lastRow="0" w:firstColumn="1" w:lastColumn="0" w:oddVBand="0" w:evenVBand="0" w:oddHBand="0" w:evenHBand="0" w:firstRowFirstColumn="0" w:firstRowLastColumn="0" w:lastRowFirstColumn="0" w:lastRowLastColumn="0"/>
            <w:tcW w:w="535" w:type="dxa"/>
            <w:tcBorders>
              <w:bottom w:val="nil"/>
            </w:tcBorders>
          </w:tcPr>
          <w:p w14:paraId="40D013EC" w14:textId="77777777" w:rsidR="00405C79" w:rsidRPr="00E21143" w:rsidRDefault="00405C79" w:rsidP="005C0E20">
            <w:pPr>
              <w:jc w:val="lowKashida"/>
              <w:rPr>
                <w:rFonts w:asciiTheme="majorBidi" w:hAnsiTheme="majorBidi" w:cstheme="majorBidi"/>
                <w:color w:val="auto"/>
                <w:sz w:val="18"/>
                <w:szCs w:val="18"/>
              </w:rPr>
            </w:pPr>
          </w:p>
        </w:tc>
        <w:tc>
          <w:tcPr>
            <w:tcW w:w="4680" w:type="dxa"/>
            <w:gridSpan w:val="3"/>
            <w:tcBorders>
              <w:bottom w:val="nil"/>
            </w:tcBorders>
            <w:noWrap/>
            <w:hideMark/>
          </w:tcPr>
          <w:p w14:paraId="099928D8"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Other (please specify)</w:t>
            </w:r>
          </w:p>
        </w:tc>
        <w:tc>
          <w:tcPr>
            <w:tcW w:w="1710" w:type="dxa"/>
            <w:gridSpan w:val="2"/>
            <w:tcBorders>
              <w:bottom w:val="nil"/>
            </w:tcBorders>
            <w:noWrap/>
            <w:hideMark/>
          </w:tcPr>
          <w:p w14:paraId="53C08D5B"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1.24%</w:t>
            </w:r>
          </w:p>
        </w:tc>
        <w:tc>
          <w:tcPr>
            <w:tcW w:w="1530" w:type="dxa"/>
            <w:tcBorders>
              <w:bottom w:val="nil"/>
            </w:tcBorders>
            <w:noWrap/>
            <w:hideMark/>
          </w:tcPr>
          <w:p w14:paraId="1CFBC051"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5</w:t>
            </w:r>
          </w:p>
        </w:tc>
      </w:tr>
      <w:tr w:rsidR="00D20CA8" w:rsidRPr="00E21143" w14:paraId="69185542" w14:textId="77777777" w:rsidTr="00A047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35" w:type="dxa"/>
            <w:tcBorders>
              <w:top w:val="nil"/>
              <w:bottom w:val="nil"/>
            </w:tcBorders>
          </w:tcPr>
          <w:p w14:paraId="0196AB44" w14:textId="77777777" w:rsidR="00405C79" w:rsidRPr="00E21143" w:rsidRDefault="00405C79" w:rsidP="005C0E20">
            <w:pPr>
              <w:jc w:val="lowKashida"/>
              <w:rPr>
                <w:rFonts w:asciiTheme="majorBidi" w:hAnsiTheme="majorBidi" w:cstheme="majorBidi"/>
                <w:color w:val="auto"/>
                <w:sz w:val="18"/>
                <w:szCs w:val="18"/>
              </w:rPr>
            </w:pPr>
          </w:p>
        </w:tc>
        <w:tc>
          <w:tcPr>
            <w:tcW w:w="7920" w:type="dxa"/>
            <w:gridSpan w:val="6"/>
            <w:tcBorders>
              <w:top w:val="nil"/>
              <w:bottom w:val="nil"/>
            </w:tcBorders>
            <w:noWrap/>
          </w:tcPr>
          <w:p w14:paraId="0C350548" w14:textId="77777777" w:rsidR="00405C79" w:rsidRPr="00E21143" w:rsidRDefault="00405C79" w:rsidP="005C0E20">
            <w:pPr>
              <w:pStyle w:val="ListParagraph"/>
              <w:numPr>
                <w:ilvl w:val="0"/>
                <w:numId w:val="8"/>
              </w:num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When an item cannot be repaired, I buy a new one.</w:t>
            </w:r>
          </w:p>
        </w:tc>
      </w:tr>
      <w:tr w:rsidR="00D20CA8" w:rsidRPr="00E21143" w14:paraId="7BD48386" w14:textId="77777777" w:rsidTr="00A047C0">
        <w:trPr>
          <w:trHeight w:val="20"/>
          <w:jc w:val="center"/>
        </w:trPr>
        <w:tc>
          <w:tcPr>
            <w:cnfStyle w:val="001000000000" w:firstRow="0" w:lastRow="0" w:firstColumn="1" w:lastColumn="0" w:oddVBand="0" w:evenVBand="0" w:oddHBand="0" w:evenHBand="0" w:firstRowFirstColumn="0" w:firstRowLastColumn="0" w:lastRowFirstColumn="0" w:lastRowLastColumn="0"/>
            <w:tcW w:w="535" w:type="dxa"/>
            <w:tcBorders>
              <w:top w:val="nil"/>
              <w:bottom w:val="nil"/>
            </w:tcBorders>
          </w:tcPr>
          <w:p w14:paraId="658BBC15" w14:textId="77777777" w:rsidR="00405C79" w:rsidRPr="00E21143" w:rsidRDefault="00405C79" w:rsidP="005C0E20">
            <w:pPr>
              <w:jc w:val="lowKashida"/>
              <w:rPr>
                <w:rFonts w:asciiTheme="majorBidi" w:hAnsiTheme="majorBidi" w:cstheme="majorBidi"/>
                <w:color w:val="auto"/>
                <w:sz w:val="18"/>
                <w:szCs w:val="18"/>
              </w:rPr>
            </w:pPr>
          </w:p>
        </w:tc>
        <w:tc>
          <w:tcPr>
            <w:tcW w:w="7920" w:type="dxa"/>
            <w:gridSpan w:val="6"/>
            <w:tcBorders>
              <w:top w:val="nil"/>
              <w:bottom w:val="nil"/>
            </w:tcBorders>
            <w:noWrap/>
          </w:tcPr>
          <w:p w14:paraId="3CBB6312" w14:textId="77777777" w:rsidR="00405C79" w:rsidRPr="00E21143" w:rsidRDefault="00405C79" w:rsidP="005C0E20">
            <w:pPr>
              <w:pStyle w:val="ListParagraph"/>
              <w:numPr>
                <w:ilvl w:val="0"/>
                <w:numId w:val="8"/>
              </w:num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Both the unavailability of repair services and the high cost of repair when I do find repair services</w:t>
            </w:r>
          </w:p>
        </w:tc>
      </w:tr>
      <w:tr w:rsidR="00D20CA8" w:rsidRPr="00E21143" w14:paraId="238334E7" w14:textId="77777777" w:rsidTr="00A047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35" w:type="dxa"/>
            <w:tcBorders>
              <w:top w:val="nil"/>
              <w:bottom w:val="nil"/>
            </w:tcBorders>
          </w:tcPr>
          <w:p w14:paraId="22C6B1A7" w14:textId="77777777" w:rsidR="00405C79" w:rsidRPr="00E21143" w:rsidRDefault="00405C79" w:rsidP="005C0E20">
            <w:pPr>
              <w:jc w:val="lowKashida"/>
              <w:rPr>
                <w:rFonts w:asciiTheme="majorBidi" w:hAnsiTheme="majorBidi" w:cstheme="majorBidi"/>
                <w:color w:val="auto"/>
                <w:sz w:val="18"/>
                <w:szCs w:val="18"/>
              </w:rPr>
            </w:pPr>
          </w:p>
        </w:tc>
        <w:tc>
          <w:tcPr>
            <w:tcW w:w="7920" w:type="dxa"/>
            <w:gridSpan w:val="6"/>
            <w:tcBorders>
              <w:top w:val="nil"/>
              <w:bottom w:val="nil"/>
            </w:tcBorders>
            <w:noWrap/>
          </w:tcPr>
          <w:p w14:paraId="3B9A24D1" w14:textId="77777777" w:rsidR="00405C79" w:rsidRPr="00E21143" w:rsidRDefault="00405C79" w:rsidP="005C0E20">
            <w:pPr>
              <w:pStyle w:val="ListParagraph"/>
              <w:numPr>
                <w:ilvl w:val="0"/>
                <w:numId w:val="8"/>
              </w:num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All the reasons</w:t>
            </w:r>
          </w:p>
        </w:tc>
      </w:tr>
      <w:tr w:rsidR="00D20CA8" w:rsidRPr="00E21143" w14:paraId="71E12D06" w14:textId="77777777" w:rsidTr="00A047C0">
        <w:trPr>
          <w:trHeight w:val="20"/>
          <w:jc w:val="center"/>
        </w:trPr>
        <w:tc>
          <w:tcPr>
            <w:cnfStyle w:val="001000000000" w:firstRow="0" w:lastRow="0" w:firstColumn="1" w:lastColumn="0" w:oddVBand="0" w:evenVBand="0" w:oddHBand="0" w:evenHBand="0" w:firstRowFirstColumn="0" w:firstRowLastColumn="0" w:lastRowFirstColumn="0" w:lastRowLastColumn="0"/>
            <w:tcW w:w="535" w:type="dxa"/>
            <w:tcBorders>
              <w:top w:val="nil"/>
              <w:bottom w:val="nil"/>
            </w:tcBorders>
          </w:tcPr>
          <w:p w14:paraId="7B9146A0" w14:textId="77777777" w:rsidR="00405C79" w:rsidRPr="00E21143" w:rsidRDefault="00405C79" w:rsidP="005C0E20">
            <w:pPr>
              <w:jc w:val="lowKashida"/>
              <w:rPr>
                <w:rFonts w:asciiTheme="majorBidi" w:hAnsiTheme="majorBidi" w:cstheme="majorBidi"/>
                <w:color w:val="auto"/>
                <w:sz w:val="18"/>
                <w:szCs w:val="18"/>
              </w:rPr>
            </w:pPr>
          </w:p>
        </w:tc>
        <w:tc>
          <w:tcPr>
            <w:tcW w:w="7920" w:type="dxa"/>
            <w:gridSpan w:val="6"/>
            <w:tcBorders>
              <w:top w:val="nil"/>
              <w:bottom w:val="nil"/>
            </w:tcBorders>
            <w:noWrap/>
          </w:tcPr>
          <w:p w14:paraId="0F4F579F" w14:textId="77777777" w:rsidR="00405C79" w:rsidRPr="00E21143" w:rsidRDefault="00405C79" w:rsidP="005C0E20">
            <w:pPr>
              <w:pStyle w:val="ListParagraph"/>
              <w:numPr>
                <w:ilvl w:val="0"/>
                <w:numId w:val="8"/>
              </w:num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Sometimes, I buy items outside Qatar that are not possible to repair in Qatar.</w:t>
            </w:r>
          </w:p>
        </w:tc>
      </w:tr>
      <w:tr w:rsidR="00D20CA8" w:rsidRPr="00E21143" w14:paraId="618C6BBB" w14:textId="77777777" w:rsidTr="00A047C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35" w:type="dxa"/>
            <w:tcBorders>
              <w:top w:val="nil"/>
              <w:bottom w:val="single" w:sz="4" w:space="0" w:color="auto"/>
            </w:tcBorders>
          </w:tcPr>
          <w:p w14:paraId="66893D35" w14:textId="77777777" w:rsidR="00405C79" w:rsidRPr="00E21143" w:rsidRDefault="00405C79" w:rsidP="005C0E20">
            <w:pPr>
              <w:jc w:val="lowKashida"/>
              <w:rPr>
                <w:rFonts w:asciiTheme="majorBidi" w:hAnsiTheme="majorBidi" w:cstheme="majorBidi"/>
                <w:color w:val="auto"/>
                <w:sz w:val="18"/>
                <w:szCs w:val="18"/>
              </w:rPr>
            </w:pPr>
          </w:p>
        </w:tc>
        <w:tc>
          <w:tcPr>
            <w:tcW w:w="7920" w:type="dxa"/>
            <w:gridSpan w:val="6"/>
            <w:tcBorders>
              <w:top w:val="nil"/>
              <w:bottom w:val="single" w:sz="4" w:space="0" w:color="auto"/>
            </w:tcBorders>
            <w:noWrap/>
          </w:tcPr>
          <w:p w14:paraId="39FE082D" w14:textId="77777777" w:rsidR="00405C79" w:rsidRPr="00E21143" w:rsidRDefault="00405C79" w:rsidP="005C0E20">
            <w:pPr>
              <w:pStyle w:val="ListParagraph"/>
              <w:numPr>
                <w:ilvl w:val="0"/>
                <w:numId w:val="8"/>
              </w:num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18"/>
                <w:szCs w:val="18"/>
              </w:rPr>
            </w:pPr>
            <w:r w:rsidRPr="00E21143">
              <w:rPr>
                <w:rFonts w:asciiTheme="majorBidi" w:hAnsiTheme="majorBidi" w:cstheme="majorBidi"/>
                <w:color w:val="auto"/>
                <w:sz w:val="18"/>
                <w:szCs w:val="18"/>
              </w:rPr>
              <w:t>Both high cost and unavailability of repair services</w:t>
            </w:r>
          </w:p>
        </w:tc>
      </w:tr>
    </w:tbl>
    <w:p w14:paraId="479F05C1" w14:textId="77777777" w:rsidR="00900A0E" w:rsidRPr="00D20CA8" w:rsidRDefault="00900A0E" w:rsidP="005C0E20">
      <w:pPr>
        <w:jc w:val="lowKashida"/>
        <w:rPr>
          <w:rFonts w:asciiTheme="majorBidi" w:hAnsiTheme="majorBidi" w:cstheme="majorBidi"/>
          <w:sz w:val="24"/>
          <w:szCs w:val="24"/>
        </w:rPr>
      </w:pPr>
    </w:p>
    <w:p w14:paraId="3AAC996D" w14:textId="5D535D7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Obstacles to consumer engagement in the CE can stem from diverse factors such as policy frameworks, recycling service accessibility, incentive structures, and market dynamics. This study, tailored for a public audience, focuses on two key aspects: barriers to repair practices and obstacles to eco-friendly shopping behaviors.</w:t>
      </w:r>
    </w:p>
    <w:p w14:paraId="6DE8DCD7" w14:textId="04F7F0F5" w:rsidR="00900A0E" w:rsidRPr="00D20CA8" w:rsidRDefault="00F3717D" w:rsidP="005C0E20">
      <w:pPr>
        <w:jc w:val="lowKashida"/>
        <w:rPr>
          <w:rFonts w:asciiTheme="majorBidi" w:hAnsiTheme="majorBidi" w:cstheme="majorBidi"/>
          <w:sz w:val="24"/>
          <w:szCs w:val="24"/>
        </w:rPr>
      </w:pPr>
      <w:r w:rsidRPr="00D20CA8">
        <w:rPr>
          <w:rFonts w:asciiTheme="majorBidi" w:hAnsiTheme="majorBidi" w:cstheme="majorBidi"/>
          <w:sz w:val="24"/>
          <w:szCs w:val="24"/>
        </w:rPr>
        <w:t>4.3.4</w:t>
      </w:r>
      <w:r w:rsidRPr="00D20CA8">
        <w:rPr>
          <w:rFonts w:asciiTheme="majorBidi" w:hAnsiTheme="majorBidi" w:cstheme="majorBidi"/>
          <w:sz w:val="24"/>
          <w:szCs w:val="24"/>
        </w:rPr>
        <w:tab/>
      </w:r>
      <w:r w:rsidR="00F436A1">
        <w:rPr>
          <w:rFonts w:asciiTheme="majorBidi" w:hAnsiTheme="majorBidi" w:cstheme="majorBidi"/>
          <w:sz w:val="24"/>
          <w:szCs w:val="24"/>
        </w:rPr>
        <w:t>m</w:t>
      </w:r>
      <w:r w:rsidR="00900A0E" w:rsidRPr="00D20CA8">
        <w:rPr>
          <w:rFonts w:asciiTheme="majorBidi" w:hAnsiTheme="majorBidi" w:cstheme="majorBidi"/>
          <w:sz w:val="24"/>
          <w:szCs w:val="24"/>
        </w:rPr>
        <w:t>otivation to participate in CE.</w:t>
      </w:r>
    </w:p>
    <w:p w14:paraId="196D250F" w14:textId="50B0AB5F"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Table 11 presents the ranking of ethical, religious, and financial motivations for contributing to the CE on a Likert scale ranging from "not important at all" to "very important." </w:t>
      </w:r>
      <w:r w:rsidR="00F436A1">
        <w:rPr>
          <w:rFonts w:asciiTheme="majorBidi" w:hAnsiTheme="majorBidi" w:cstheme="majorBidi"/>
          <w:sz w:val="24"/>
          <w:szCs w:val="24"/>
        </w:rPr>
        <w:t>Most</w:t>
      </w:r>
      <w:r w:rsidRPr="00D20CA8">
        <w:rPr>
          <w:rFonts w:asciiTheme="majorBidi" w:hAnsiTheme="majorBidi" w:cstheme="majorBidi"/>
          <w:sz w:val="24"/>
          <w:szCs w:val="24"/>
        </w:rPr>
        <w:t xml:space="preserve"> respondents assigned a moderate level of importance to all three motivational factors.</w:t>
      </w:r>
      <w:r w:rsidR="00F436A1">
        <w:rPr>
          <w:rFonts w:asciiTheme="majorBidi" w:hAnsiTheme="majorBidi" w:cstheme="majorBidi"/>
          <w:sz w:val="24"/>
          <w:szCs w:val="24"/>
        </w:rPr>
        <w:t xml:space="preserve"> </w:t>
      </w:r>
      <w:r w:rsidRPr="00D20CA8">
        <w:rPr>
          <w:rFonts w:asciiTheme="majorBidi" w:hAnsiTheme="majorBidi" w:cstheme="majorBidi"/>
          <w:sz w:val="24"/>
          <w:szCs w:val="24"/>
        </w:rPr>
        <w:t xml:space="preserve">Among the participants, 51% considered financial motivation moderately important, with 29% viewing it as very important. Regarding religious motivation, 37% found it moderately important, and 39% highly important. For ethical motivation, 44% rated it moderately important, while 35% deemed it very important. </w:t>
      </w:r>
      <w:r w:rsidR="00F436A1">
        <w:rPr>
          <w:rFonts w:asciiTheme="majorBidi" w:hAnsiTheme="majorBidi" w:cstheme="majorBidi"/>
          <w:sz w:val="24"/>
          <w:szCs w:val="24"/>
        </w:rPr>
        <w:t>L</w:t>
      </w:r>
      <w:r w:rsidRPr="00D20CA8">
        <w:rPr>
          <w:rFonts w:asciiTheme="majorBidi" w:hAnsiTheme="majorBidi" w:cstheme="majorBidi"/>
          <w:sz w:val="24"/>
          <w:szCs w:val="24"/>
        </w:rPr>
        <w:t>ess than 10% of respondents viewed these motivations as unimportant or slightly important. When comparing the "very important" category across all three motivations, religious motivation received the highest percentage (39%), followed by ethical motivation (35%) and financial motivation (29%).</w:t>
      </w:r>
    </w:p>
    <w:p w14:paraId="0B337B28" w14:textId="24CD77AA"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Consumer perception of religious motivation as a significant driver for engaging in the CE and environmental care highlights the importance Muslims place on ethical and moral principles derived from faith. This underscores the influential role of religious leaders and institutions in promoting environmental awareness and engaging the public. Policymakers can benefit from considering these perspectives when developing environmental agendas.</w:t>
      </w:r>
    </w:p>
    <w:p w14:paraId="510864AE" w14:textId="77777777" w:rsidR="00900A0E" w:rsidRPr="00D20CA8" w:rsidRDefault="00900A0E" w:rsidP="005C0E20">
      <w:pPr>
        <w:jc w:val="lowKashida"/>
        <w:rPr>
          <w:rFonts w:asciiTheme="majorBidi" w:hAnsiTheme="majorBidi" w:cstheme="majorBidi"/>
          <w:sz w:val="24"/>
          <w:szCs w:val="24"/>
        </w:rPr>
      </w:pPr>
    </w:p>
    <w:p w14:paraId="4A0B3510" w14:textId="7777777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Table 11: Motivation to participate in CE.</w:t>
      </w:r>
    </w:p>
    <w:tbl>
      <w:tblPr>
        <w:tblStyle w:val="TableGrid"/>
        <w:tblW w:w="0" w:type="auto"/>
        <w:tblLook w:val="04A0" w:firstRow="1" w:lastRow="0" w:firstColumn="1" w:lastColumn="0" w:noHBand="0" w:noVBand="1"/>
      </w:tblPr>
      <w:tblGrid>
        <w:gridCol w:w="3479"/>
        <w:gridCol w:w="1244"/>
        <w:gridCol w:w="1168"/>
        <w:gridCol w:w="981"/>
        <w:gridCol w:w="1323"/>
        <w:gridCol w:w="1155"/>
      </w:tblGrid>
      <w:tr w:rsidR="00D20CA8" w:rsidRPr="00D20CA8" w14:paraId="5C09EAF0" w14:textId="77777777" w:rsidTr="00382510">
        <w:tc>
          <w:tcPr>
            <w:tcW w:w="3479" w:type="dxa"/>
          </w:tcPr>
          <w:p w14:paraId="3D63F09C" w14:textId="27CA09A3" w:rsidR="00405C79"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ab/>
            </w:r>
          </w:p>
        </w:tc>
        <w:tc>
          <w:tcPr>
            <w:tcW w:w="1244" w:type="dxa"/>
          </w:tcPr>
          <w:p w14:paraId="3E1252C2"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Not important at all</w:t>
            </w:r>
          </w:p>
        </w:tc>
        <w:tc>
          <w:tcPr>
            <w:tcW w:w="1168" w:type="dxa"/>
          </w:tcPr>
          <w:p w14:paraId="5FFDBE42"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Slightly important</w:t>
            </w:r>
          </w:p>
        </w:tc>
        <w:tc>
          <w:tcPr>
            <w:tcW w:w="981" w:type="dxa"/>
          </w:tcPr>
          <w:p w14:paraId="2478C564"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Neutral</w:t>
            </w:r>
          </w:p>
        </w:tc>
        <w:tc>
          <w:tcPr>
            <w:tcW w:w="1323" w:type="dxa"/>
          </w:tcPr>
          <w:p w14:paraId="483957E2"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Moderately Important</w:t>
            </w:r>
          </w:p>
        </w:tc>
        <w:tc>
          <w:tcPr>
            <w:tcW w:w="1155" w:type="dxa"/>
          </w:tcPr>
          <w:p w14:paraId="5AED48AD"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Very important</w:t>
            </w:r>
          </w:p>
        </w:tc>
      </w:tr>
      <w:tr w:rsidR="00D20CA8" w:rsidRPr="00D20CA8" w14:paraId="56594BB0" w14:textId="77777777" w:rsidTr="00382510">
        <w:tc>
          <w:tcPr>
            <w:tcW w:w="3479" w:type="dxa"/>
          </w:tcPr>
          <w:p w14:paraId="0386EE14" w14:textId="02B88400"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i/>
                <w:iCs/>
                <w:sz w:val="24"/>
                <w:szCs w:val="24"/>
              </w:rPr>
              <w:t xml:space="preserve">Financial motivation is important for you to contribute to a </w:t>
            </w:r>
            <w:r w:rsidR="00EC5CA4">
              <w:rPr>
                <w:rFonts w:asciiTheme="majorBidi" w:hAnsiTheme="majorBidi" w:cstheme="majorBidi"/>
                <w:i/>
                <w:iCs/>
                <w:sz w:val="24"/>
                <w:szCs w:val="24"/>
              </w:rPr>
              <w:t>CE</w:t>
            </w:r>
            <w:r w:rsidRPr="00D20CA8">
              <w:rPr>
                <w:rFonts w:asciiTheme="majorBidi" w:hAnsiTheme="majorBidi" w:cstheme="majorBidi"/>
                <w:i/>
                <w:iCs/>
                <w:sz w:val="24"/>
                <w:szCs w:val="24"/>
              </w:rPr>
              <w:t xml:space="preserve"> as a consumer/buyer</w:t>
            </w:r>
          </w:p>
        </w:tc>
        <w:tc>
          <w:tcPr>
            <w:tcW w:w="1244" w:type="dxa"/>
          </w:tcPr>
          <w:p w14:paraId="6A683687"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0.25%</w:t>
            </w:r>
          </w:p>
        </w:tc>
        <w:tc>
          <w:tcPr>
            <w:tcW w:w="1168" w:type="dxa"/>
          </w:tcPr>
          <w:p w14:paraId="3B00BAE6"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8.71%</w:t>
            </w:r>
          </w:p>
        </w:tc>
        <w:tc>
          <w:tcPr>
            <w:tcW w:w="981" w:type="dxa"/>
          </w:tcPr>
          <w:p w14:paraId="260EEBF0"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10.70%</w:t>
            </w:r>
          </w:p>
        </w:tc>
        <w:tc>
          <w:tcPr>
            <w:tcW w:w="1323" w:type="dxa"/>
          </w:tcPr>
          <w:p w14:paraId="257E1C9F"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51.00%</w:t>
            </w:r>
          </w:p>
        </w:tc>
        <w:tc>
          <w:tcPr>
            <w:tcW w:w="1155" w:type="dxa"/>
          </w:tcPr>
          <w:p w14:paraId="721CCFB5"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29.35%</w:t>
            </w:r>
          </w:p>
        </w:tc>
      </w:tr>
      <w:tr w:rsidR="00D20CA8" w:rsidRPr="00D20CA8" w14:paraId="3FE2E179" w14:textId="77777777" w:rsidTr="00382510">
        <w:tc>
          <w:tcPr>
            <w:tcW w:w="3479" w:type="dxa"/>
          </w:tcPr>
          <w:p w14:paraId="3AB97F5F" w14:textId="29F24160"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i/>
                <w:iCs/>
                <w:sz w:val="24"/>
                <w:szCs w:val="24"/>
              </w:rPr>
              <w:lastRenderedPageBreak/>
              <w:t xml:space="preserve">Religious motivation is important for contributing to a </w:t>
            </w:r>
            <w:r w:rsidR="00EC5CA4">
              <w:rPr>
                <w:rFonts w:asciiTheme="majorBidi" w:hAnsiTheme="majorBidi" w:cstheme="majorBidi"/>
                <w:i/>
                <w:iCs/>
                <w:sz w:val="24"/>
                <w:szCs w:val="24"/>
              </w:rPr>
              <w:t>CE</w:t>
            </w:r>
            <w:r w:rsidRPr="00D20CA8">
              <w:rPr>
                <w:rFonts w:asciiTheme="majorBidi" w:hAnsiTheme="majorBidi" w:cstheme="majorBidi"/>
                <w:i/>
                <w:iCs/>
                <w:sz w:val="24"/>
                <w:szCs w:val="24"/>
              </w:rPr>
              <w:t xml:space="preserve"> as a consumer/buyer</w:t>
            </w:r>
            <w:r w:rsidRPr="00D20CA8">
              <w:rPr>
                <w:rFonts w:asciiTheme="majorBidi" w:hAnsiTheme="majorBidi" w:cstheme="majorBidi"/>
                <w:sz w:val="24"/>
                <w:szCs w:val="24"/>
              </w:rPr>
              <w:t>.</w:t>
            </w:r>
          </w:p>
        </w:tc>
        <w:tc>
          <w:tcPr>
            <w:tcW w:w="1244" w:type="dxa"/>
          </w:tcPr>
          <w:p w14:paraId="79583095"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1.00%</w:t>
            </w:r>
          </w:p>
        </w:tc>
        <w:tc>
          <w:tcPr>
            <w:tcW w:w="1168" w:type="dxa"/>
          </w:tcPr>
          <w:p w14:paraId="474CB280"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14.18%</w:t>
            </w:r>
          </w:p>
        </w:tc>
        <w:tc>
          <w:tcPr>
            <w:tcW w:w="981" w:type="dxa"/>
          </w:tcPr>
          <w:p w14:paraId="6468A167"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8.71%</w:t>
            </w:r>
          </w:p>
        </w:tc>
        <w:tc>
          <w:tcPr>
            <w:tcW w:w="1323" w:type="dxa"/>
          </w:tcPr>
          <w:p w14:paraId="1D04E282"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37.06%</w:t>
            </w:r>
          </w:p>
        </w:tc>
        <w:tc>
          <w:tcPr>
            <w:tcW w:w="1155" w:type="dxa"/>
          </w:tcPr>
          <w:p w14:paraId="5F7252E4"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39.05%</w:t>
            </w:r>
          </w:p>
        </w:tc>
      </w:tr>
      <w:tr w:rsidR="00D20CA8" w:rsidRPr="00D20CA8" w14:paraId="66307221" w14:textId="77777777" w:rsidTr="00382510">
        <w:tc>
          <w:tcPr>
            <w:tcW w:w="3479" w:type="dxa"/>
          </w:tcPr>
          <w:p w14:paraId="7DF0C754" w14:textId="44BFEED4"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i/>
                <w:iCs/>
                <w:sz w:val="24"/>
                <w:szCs w:val="24"/>
              </w:rPr>
              <w:t xml:space="preserve">Ethical motivation is important for contributing to a </w:t>
            </w:r>
            <w:r w:rsidR="00EC5CA4">
              <w:rPr>
                <w:rFonts w:asciiTheme="majorBidi" w:hAnsiTheme="majorBidi" w:cstheme="majorBidi"/>
                <w:i/>
                <w:iCs/>
                <w:sz w:val="24"/>
                <w:szCs w:val="24"/>
              </w:rPr>
              <w:t>CE</w:t>
            </w:r>
            <w:r w:rsidRPr="00D20CA8">
              <w:rPr>
                <w:rFonts w:asciiTheme="majorBidi" w:hAnsiTheme="majorBidi" w:cstheme="majorBidi"/>
                <w:i/>
                <w:iCs/>
                <w:sz w:val="24"/>
                <w:szCs w:val="24"/>
              </w:rPr>
              <w:t xml:space="preserve"> as a consumer/buyer.</w:t>
            </w:r>
          </w:p>
        </w:tc>
        <w:tc>
          <w:tcPr>
            <w:tcW w:w="1244" w:type="dxa"/>
          </w:tcPr>
          <w:p w14:paraId="191BE2B2"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0.75%</w:t>
            </w:r>
          </w:p>
        </w:tc>
        <w:tc>
          <w:tcPr>
            <w:tcW w:w="1168" w:type="dxa"/>
          </w:tcPr>
          <w:p w14:paraId="5DD47FD5"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12.19%</w:t>
            </w:r>
          </w:p>
        </w:tc>
        <w:tc>
          <w:tcPr>
            <w:tcW w:w="981" w:type="dxa"/>
          </w:tcPr>
          <w:p w14:paraId="3C38FEEC"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7.96%</w:t>
            </w:r>
          </w:p>
        </w:tc>
        <w:tc>
          <w:tcPr>
            <w:tcW w:w="1323" w:type="dxa"/>
          </w:tcPr>
          <w:p w14:paraId="719876D4"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44.53%</w:t>
            </w:r>
          </w:p>
        </w:tc>
        <w:tc>
          <w:tcPr>
            <w:tcW w:w="1155" w:type="dxa"/>
          </w:tcPr>
          <w:p w14:paraId="01138DB8" w14:textId="77777777" w:rsidR="00405C79" w:rsidRPr="00D20CA8" w:rsidRDefault="00405C79" w:rsidP="005C0E20">
            <w:pPr>
              <w:jc w:val="lowKashida"/>
              <w:rPr>
                <w:rFonts w:asciiTheme="majorBidi" w:hAnsiTheme="majorBidi" w:cstheme="majorBidi"/>
                <w:sz w:val="24"/>
                <w:szCs w:val="24"/>
              </w:rPr>
            </w:pPr>
            <w:r w:rsidRPr="00D20CA8">
              <w:rPr>
                <w:rFonts w:asciiTheme="majorBidi" w:hAnsiTheme="majorBidi" w:cstheme="majorBidi"/>
                <w:sz w:val="24"/>
                <w:szCs w:val="24"/>
              </w:rPr>
              <w:t>34.58%</w:t>
            </w:r>
          </w:p>
        </w:tc>
      </w:tr>
    </w:tbl>
    <w:p w14:paraId="564A0A45" w14:textId="78CFEF09" w:rsidR="00900A0E" w:rsidRPr="00D20CA8" w:rsidRDefault="00900A0E" w:rsidP="005C0E20">
      <w:pPr>
        <w:jc w:val="lowKashida"/>
        <w:rPr>
          <w:rFonts w:asciiTheme="majorBidi" w:hAnsiTheme="majorBidi" w:cstheme="majorBidi"/>
          <w:sz w:val="24"/>
          <w:szCs w:val="24"/>
        </w:rPr>
      </w:pPr>
    </w:p>
    <w:p w14:paraId="468FD9CD" w14:textId="652AA98C" w:rsidR="00900A0E" w:rsidRPr="00D20CA8" w:rsidRDefault="00F3717D" w:rsidP="005C0E20">
      <w:pPr>
        <w:jc w:val="lowKashida"/>
        <w:rPr>
          <w:rFonts w:asciiTheme="majorBidi" w:hAnsiTheme="majorBidi" w:cstheme="majorBidi"/>
          <w:sz w:val="24"/>
          <w:szCs w:val="24"/>
        </w:rPr>
      </w:pPr>
      <w:r w:rsidRPr="00D20CA8">
        <w:rPr>
          <w:rFonts w:asciiTheme="majorBidi" w:hAnsiTheme="majorBidi" w:cstheme="majorBidi"/>
          <w:sz w:val="24"/>
          <w:szCs w:val="24"/>
        </w:rPr>
        <w:t>4.3.5</w:t>
      </w:r>
      <w:r w:rsidRPr="00D20CA8">
        <w:rPr>
          <w:rFonts w:asciiTheme="majorBidi" w:hAnsiTheme="majorBidi" w:cstheme="majorBidi"/>
          <w:sz w:val="24"/>
          <w:szCs w:val="24"/>
        </w:rPr>
        <w:tab/>
      </w:r>
      <w:r w:rsidR="00900A0E" w:rsidRPr="00D20CA8">
        <w:rPr>
          <w:rFonts w:asciiTheme="majorBidi" w:hAnsiTheme="majorBidi" w:cstheme="majorBidi"/>
          <w:sz w:val="24"/>
          <w:szCs w:val="24"/>
        </w:rPr>
        <w:t>Willingness to pay and respon</w:t>
      </w:r>
      <w:r w:rsidR="00F436A1">
        <w:rPr>
          <w:rFonts w:asciiTheme="majorBidi" w:hAnsiTheme="majorBidi" w:cstheme="majorBidi"/>
          <w:sz w:val="24"/>
          <w:szCs w:val="24"/>
        </w:rPr>
        <w:t>d</w:t>
      </w:r>
      <w:r w:rsidR="00900A0E" w:rsidRPr="00D20CA8">
        <w:rPr>
          <w:rFonts w:asciiTheme="majorBidi" w:hAnsiTheme="majorBidi" w:cstheme="majorBidi"/>
          <w:sz w:val="24"/>
          <w:szCs w:val="24"/>
        </w:rPr>
        <w:t xml:space="preserve"> to incentives.</w:t>
      </w:r>
    </w:p>
    <w:p w14:paraId="17A372DA" w14:textId="3199A8C8"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The willingness to pay for environmentally friendly products </w:t>
      </w:r>
      <w:r w:rsidR="00F436A1">
        <w:rPr>
          <w:rFonts w:asciiTheme="majorBidi" w:hAnsiTheme="majorBidi" w:cstheme="majorBidi"/>
          <w:sz w:val="24"/>
          <w:szCs w:val="24"/>
        </w:rPr>
        <w:t>and income levels in the provided sources are analyzed</w:t>
      </w:r>
      <w:r w:rsidRPr="00D20CA8">
        <w:rPr>
          <w:rFonts w:asciiTheme="majorBidi" w:hAnsiTheme="majorBidi" w:cstheme="majorBidi"/>
          <w:sz w:val="24"/>
          <w:szCs w:val="24"/>
        </w:rPr>
        <w:t xml:space="preserve">. Table 12 presents data on respondents' willingness to pay, showing that approximately 54% are willing to pay an adequate amount, while about 36% are willing to pay less. The comparison across different income groups in Table 9 reveals no significant disparity in willingness to pay for eco-friendly products. Income differences do not appear to </w:t>
      </w:r>
      <w:r w:rsidR="00F436A1">
        <w:rPr>
          <w:rFonts w:asciiTheme="majorBidi" w:hAnsiTheme="majorBidi" w:cstheme="majorBidi"/>
          <w:sz w:val="24"/>
          <w:szCs w:val="24"/>
        </w:rPr>
        <w:t>influence respondents' willingness to pay strongly</w:t>
      </w:r>
      <w:r w:rsidRPr="00D20CA8">
        <w:rPr>
          <w:rFonts w:asciiTheme="majorBidi" w:hAnsiTheme="majorBidi" w:cstheme="majorBidi"/>
          <w:sz w:val="24"/>
          <w:szCs w:val="24"/>
        </w:rPr>
        <w:t>.</w:t>
      </w:r>
    </w:p>
    <w:p w14:paraId="7479E5D1" w14:textId="77777777" w:rsidR="00900A0E" w:rsidRPr="00D20CA8" w:rsidRDefault="00900A0E" w:rsidP="005C0E20">
      <w:pPr>
        <w:jc w:val="lowKashida"/>
        <w:rPr>
          <w:rFonts w:asciiTheme="majorBidi" w:hAnsiTheme="majorBidi" w:cstheme="majorBidi"/>
          <w:sz w:val="24"/>
          <w:szCs w:val="24"/>
        </w:rPr>
      </w:pPr>
    </w:p>
    <w:p w14:paraId="03726DDA" w14:textId="7777777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Table 12: Willingness to pay for eco-friendly products.</w:t>
      </w:r>
    </w:p>
    <w:tbl>
      <w:tblPr>
        <w:tblStyle w:val="PlainTable4"/>
        <w:tblW w:w="9443" w:type="dxa"/>
        <w:tblInd w:w="5" w:type="dxa"/>
        <w:tblBorders>
          <w:top w:val="single" w:sz="4" w:space="0" w:color="auto"/>
          <w:bottom w:val="single" w:sz="4" w:space="0" w:color="auto"/>
        </w:tblBorders>
        <w:tblLook w:val="04A0" w:firstRow="1" w:lastRow="0" w:firstColumn="1" w:lastColumn="0" w:noHBand="0" w:noVBand="1"/>
      </w:tblPr>
      <w:tblGrid>
        <w:gridCol w:w="936"/>
        <w:gridCol w:w="222"/>
        <w:gridCol w:w="2617"/>
        <w:gridCol w:w="1076"/>
        <w:gridCol w:w="1260"/>
        <w:gridCol w:w="1433"/>
        <w:gridCol w:w="1185"/>
        <w:gridCol w:w="1070"/>
      </w:tblGrid>
      <w:tr w:rsidR="00D20CA8" w:rsidRPr="00E21143" w14:paraId="54835515" w14:textId="77777777" w:rsidTr="00A047C0">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527" w:type="dxa"/>
            <w:tcBorders>
              <w:top w:val="single" w:sz="4" w:space="0" w:color="auto"/>
              <w:bottom w:val="nil"/>
            </w:tcBorders>
          </w:tcPr>
          <w:p w14:paraId="51264DCA" w14:textId="1DAA465A" w:rsidR="00405C79" w:rsidRPr="00E21143" w:rsidRDefault="00900A0E" w:rsidP="005C0E20">
            <w:pPr>
              <w:contextualSpacing/>
              <w:jc w:val="lowKashida"/>
              <w:rPr>
                <w:rFonts w:asciiTheme="majorBidi" w:hAnsiTheme="majorBidi" w:cstheme="majorBidi"/>
                <w:b w:val="0"/>
                <w:bCs w:val="0"/>
                <w:sz w:val="18"/>
                <w:szCs w:val="18"/>
              </w:rPr>
            </w:pPr>
            <w:r w:rsidRPr="00D20CA8">
              <w:rPr>
                <w:rFonts w:asciiTheme="majorBidi" w:hAnsiTheme="majorBidi" w:cstheme="majorBidi"/>
                <w:sz w:val="24"/>
                <w:szCs w:val="24"/>
              </w:rPr>
              <w:tab/>
            </w:r>
          </w:p>
        </w:tc>
        <w:tc>
          <w:tcPr>
            <w:tcW w:w="275" w:type="dxa"/>
            <w:tcBorders>
              <w:top w:val="single" w:sz="4" w:space="0" w:color="auto"/>
              <w:bottom w:val="nil"/>
            </w:tcBorders>
          </w:tcPr>
          <w:p w14:paraId="45832D0D" w14:textId="77777777" w:rsidR="00405C79" w:rsidRPr="00E21143" w:rsidRDefault="00405C79" w:rsidP="005C0E20">
            <w:pPr>
              <w:contextualSpacing/>
              <w:jc w:val="lowKashida"/>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Pr>
            </w:pPr>
          </w:p>
        </w:tc>
        <w:tc>
          <w:tcPr>
            <w:tcW w:w="2617" w:type="dxa"/>
            <w:tcBorders>
              <w:top w:val="single" w:sz="4" w:space="0" w:color="auto"/>
              <w:bottom w:val="nil"/>
            </w:tcBorders>
            <w:noWrap/>
            <w:hideMark/>
          </w:tcPr>
          <w:p w14:paraId="5464306D" w14:textId="77777777" w:rsidR="00405C79" w:rsidRPr="00E21143" w:rsidRDefault="00405C79" w:rsidP="005C0E20">
            <w:pPr>
              <w:contextualSpacing/>
              <w:jc w:val="lowKashida"/>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Pr>
            </w:pPr>
            <w:r w:rsidRPr="00E21143">
              <w:rPr>
                <w:rFonts w:asciiTheme="majorBidi" w:hAnsiTheme="majorBidi" w:cstheme="majorBidi"/>
                <w:sz w:val="18"/>
                <w:szCs w:val="18"/>
              </w:rPr>
              <w:t>Income Range</w:t>
            </w:r>
          </w:p>
        </w:tc>
        <w:tc>
          <w:tcPr>
            <w:tcW w:w="6024" w:type="dxa"/>
            <w:gridSpan w:val="5"/>
            <w:tcBorders>
              <w:top w:val="single" w:sz="4" w:space="0" w:color="auto"/>
              <w:bottom w:val="single" w:sz="4" w:space="0" w:color="auto"/>
            </w:tcBorders>
            <w:noWrap/>
            <w:hideMark/>
          </w:tcPr>
          <w:p w14:paraId="22A2A43C" w14:textId="77777777" w:rsidR="00405C79" w:rsidRPr="00E21143" w:rsidRDefault="00405C79" w:rsidP="005C0E20">
            <w:pPr>
              <w:contextualSpacing/>
              <w:jc w:val="lowKashida"/>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Pr>
            </w:pPr>
            <w:r w:rsidRPr="00E21143">
              <w:rPr>
                <w:rFonts w:asciiTheme="majorBidi" w:hAnsiTheme="majorBidi" w:cstheme="majorBidi"/>
                <w:sz w:val="18"/>
                <w:szCs w:val="18"/>
              </w:rPr>
              <w:t xml:space="preserve">                                         Willingness to Pay for eco-friendly products</w:t>
            </w:r>
          </w:p>
        </w:tc>
      </w:tr>
      <w:tr w:rsidR="00D20CA8" w:rsidRPr="00E21143" w14:paraId="7604402B" w14:textId="77777777" w:rsidTr="00A047C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527" w:type="dxa"/>
            <w:tcBorders>
              <w:top w:val="nil"/>
              <w:bottom w:val="single" w:sz="4" w:space="0" w:color="auto"/>
            </w:tcBorders>
          </w:tcPr>
          <w:p w14:paraId="4D63E4D0" w14:textId="77777777" w:rsidR="00405C79" w:rsidRPr="00E21143" w:rsidRDefault="00405C79" w:rsidP="005C0E20">
            <w:pPr>
              <w:contextualSpacing/>
              <w:jc w:val="lowKashida"/>
              <w:rPr>
                <w:rFonts w:asciiTheme="majorBidi" w:hAnsiTheme="majorBidi" w:cstheme="majorBidi"/>
                <w:i/>
                <w:iCs/>
                <w:sz w:val="18"/>
                <w:szCs w:val="18"/>
              </w:rPr>
            </w:pPr>
          </w:p>
        </w:tc>
        <w:tc>
          <w:tcPr>
            <w:tcW w:w="275" w:type="dxa"/>
            <w:tcBorders>
              <w:top w:val="nil"/>
              <w:bottom w:val="single" w:sz="4" w:space="0" w:color="auto"/>
            </w:tcBorders>
          </w:tcPr>
          <w:p w14:paraId="0C4DE5C5"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18"/>
                <w:szCs w:val="18"/>
              </w:rPr>
            </w:pPr>
          </w:p>
        </w:tc>
        <w:tc>
          <w:tcPr>
            <w:tcW w:w="2617" w:type="dxa"/>
            <w:tcBorders>
              <w:top w:val="nil"/>
              <w:bottom w:val="single" w:sz="4" w:space="0" w:color="auto"/>
            </w:tcBorders>
            <w:noWrap/>
          </w:tcPr>
          <w:p w14:paraId="237460C1"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18"/>
                <w:szCs w:val="18"/>
              </w:rPr>
            </w:pPr>
          </w:p>
        </w:tc>
        <w:tc>
          <w:tcPr>
            <w:tcW w:w="1076" w:type="dxa"/>
            <w:tcBorders>
              <w:top w:val="nil"/>
              <w:bottom w:val="single" w:sz="4" w:space="0" w:color="auto"/>
            </w:tcBorders>
            <w:noWrap/>
          </w:tcPr>
          <w:p w14:paraId="42B089B4"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Nothing</w:t>
            </w:r>
          </w:p>
        </w:tc>
        <w:tc>
          <w:tcPr>
            <w:tcW w:w="1260" w:type="dxa"/>
            <w:tcBorders>
              <w:top w:val="nil"/>
              <w:bottom w:val="single" w:sz="4" w:space="0" w:color="auto"/>
            </w:tcBorders>
            <w:noWrap/>
          </w:tcPr>
          <w:p w14:paraId="099FA412"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Less amount</w:t>
            </w:r>
          </w:p>
        </w:tc>
        <w:tc>
          <w:tcPr>
            <w:tcW w:w="1433" w:type="dxa"/>
            <w:tcBorders>
              <w:top w:val="nil"/>
              <w:bottom w:val="single" w:sz="4" w:space="0" w:color="auto"/>
            </w:tcBorders>
            <w:noWrap/>
          </w:tcPr>
          <w:p w14:paraId="4C660CAC"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Adequate amount</w:t>
            </w:r>
          </w:p>
        </w:tc>
        <w:tc>
          <w:tcPr>
            <w:tcW w:w="1185" w:type="dxa"/>
            <w:tcBorders>
              <w:top w:val="nil"/>
              <w:bottom w:val="single" w:sz="4" w:space="0" w:color="auto"/>
            </w:tcBorders>
            <w:noWrap/>
          </w:tcPr>
          <w:p w14:paraId="0200FCED"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Large amount</w:t>
            </w:r>
          </w:p>
        </w:tc>
        <w:tc>
          <w:tcPr>
            <w:tcW w:w="1070" w:type="dxa"/>
            <w:tcBorders>
              <w:top w:val="nil"/>
              <w:bottom w:val="single" w:sz="4" w:space="0" w:color="auto"/>
            </w:tcBorders>
            <w:noWrap/>
          </w:tcPr>
          <w:p w14:paraId="7AF3CCC9"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Total</w:t>
            </w:r>
          </w:p>
        </w:tc>
      </w:tr>
      <w:tr w:rsidR="00D20CA8" w:rsidRPr="00E21143" w14:paraId="39AE0FBE" w14:textId="77777777" w:rsidTr="00A047C0">
        <w:trPr>
          <w:trHeight w:val="233"/>
        </w:trPr>
        <w:tc>
          <w:tcPr>
            <w:cnfStyle w:val="001000000000" w:firstRow="0" w:lastRow="0" w:firstColumn="1" w:lastColumn="0" w:oddVBand="0" w:evenVBand="0" w:oddHBand="0" w:evenHBand="0" w:firstRowFirstColumn="0" w:firstRowLastColumn="0" w:lastRowFirstColumn="0" w:lastRowLastColumn="0"/>
            <w:tcW w:w="527" w:type="dxa"/>
            <w:tcBorders>
              <w:top w:val="single" w:sz="4" w:space="0" w:color="auto"/>
              <w:bottom w:val="nil"/>
            </w:tcBorders>
          </w:tcPr>
          <w:p w14:paraId="1C1E99D9" w14:textId="77777777" w:rsidR="00405C79" w:rsidRPr="00E21143" w:rsidRDefault="00405C79" w:rsidP="005C0E20">
            <w:pPr>
              <w:contextualSpacing/>
              <w:jc w:val="lowKashida"/>
              <w:rPr>
                <w:rFonts w:asciiTheme="majorBidi" w:hAnsiTheme="majorBidi" w:cstheme="majorBidi"/>
                <w:i/>
                <w:iCs/>
                <w:sz w:val="18"/>
                <w:szCs w:val="18"/>
              </w:rPr>
            </w:pPr>
          </w:p>
        </w:tc>
        <w:tc>
          <w:tcPr>
            <w:tcW w:w="275" w:type="dxa"/>
            <w:tcBorders>
              <w:top w:val="single" w:sz="4" w:space="0" w:color="auto"/>
              <w:bottom w:val="nil"/>
            </w:tcBorders>
          </w:tcPr>
          <w:p w14:paraId="5D00E6C8"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i/>
                <w:iCs/>
                <w:sz w:val="18"/>
                <w:szCs w:val="18"/>
              </w:rPr>
            </w:pPr>
          </w:p>
        </w:tc>
        <w:tc>
          <w:tcPr>
            <w:tcW w:w="2617" w:type="dxa"/>
            <w:tcBorders>
              <w:top w:val="single" w:sz="4" w:space="0" w:color="auto"/>
              <w:bottom w:val="nil"/>
            </w:tcBorders>
            <w:noWrap/>
          </w:tcPr>
          <w:p w14:paraId="06A27567"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i/>
                <w:iCs/>
                <w:sz w:val="18"/>
                <w:szCs w:val="18"/>
              </w:rPr>
            </w:pPr>
          </w:p>
        </w:tc>
        <w:tc>
          <w:tcPr>
            <w:tcW w:w="1076" w:type="dxa"/>
            <w:tcBorders>
              <w:top w:val="single" w:sz="4" w:space="0" w:color="auto"/>
              <w:bottom w:val="single" w:sz="4" w:space="0" w:color="auto"/>
            </w:tcBorders>
            <w:noWrap/>
          </w:tcPr>
          <w:p w14:paraId="217EB5BB"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w:t>
            </w:r>
          </w:p>
        </w:tc>
        <w:tc>
          <w:tcPr>
            <w:tcW w:w="1260" w:type="dxa"/>
            <w:tcBorders>
              <w:top w:val="nil"/>
              <w:bottom w:val="single" w:sz="4" w:space="0" w:color="auto"/>
            </w:tcBorders>
            <w:noWrap/>
          </w:tcPr>
          <w:p w14:paraId="150E7B16"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w:t>
            </w:r>
          </w:p>
        </w:tc>
        <w:tc>
          <w:tcPr>
            <w:tcW w:w="1433" w:type="dxa"/>
            <w:tcBorders>
              <w:top w:val="nil"/>
              <w:bottom w:val="single" w:sz="4" w:space="0" w:color="auto"/>
            </w:tcBorders>
            <w:noWrap/>
          </w:tcPr>
          <w:p w14:paraId="6794BEA6"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w:t>
            </w:r>
          </w:p>
        </w:tc>
        <w:tc>
          <w:tcPr>
            <w:tcW w:w="1185" w:type="dxa"/>
            <w:tcBorders>
              <w:top w:val="nil"/>
              <w:bottom w:val="single" w:sz="4" w:space="0" w:color="auto"/>
            </w:tcBorders>
            <w:noWrap/>
          </w:tcPr>
          <w:p w14:paraId="5062E755"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w:t>
            </w:r>
          </w:p>
        </w:tc>
        <w:tc>
          <w:tcPr>
            <w:tcW w:w="1070" w:type="dxa"/>
            <w:tcBorders>
              <w:top w:val="nil"/>
              <w:bottom w:val="single" w:sz="4" w:space="0" w:color="auto"/>
            </w:tcBorders>
            <w:noWrap/>
          </w:tcPr>
          <w:p w14:paraId="7D517979"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w:t>
            </w:r>
          </w:p>
        </w:tc>
      </w:tr>
      <w:tr w:rsidR="00D20CA8" w:rsidRPr="00E21143" w14:paraId="5662E8A1" w14:textId="77777777" w:rsidTr="00A047C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527" w:type="dxa"/>
            <w:tcBorders>
              <w:top w:val="nil"/>
            </w:tcBorders>
          </w:tcPr>
          <w:p w14:paraId="659EBE5E" w14:textId="77777777" w:rsidR="00405C79" w:rsidRPr="00E21143" w:rsidRDefault="00405C79" w:rsidP="005C0E20">
            <w:pPr>
              <w:contextualSpacing/>
              <w:jc w:val="lowKashida"/>
              <w:rPr>
                <w:rFonts w:asciiTheme="majorBidi" w:hAnsiTheme="majorBidi" w:cstheme="majorBidi"/>
                <w:b w:val="0"/>
                <w:bCs w:val="0"/>
                <w:i/>
                <w:iCs/>
                <w:sz w:val="18"/>
                <w:szCs w:val="18"/>
              </w:rPr>
            </w:pPr>
            <w:r w:rsidRPr="00E21143">
              <w:rPr>
                <w:rFonts w:asciiTheme="majorBidi" w:hAnsiTheme="majorBidi" w:cstheme="majorBidi"/>
                <w:i/>
                <w:iCs/>
                <w:sz w:val="18"/>
                <w:szCs w:val="18"/>
              </w:rPr>
              <w:t>-</w:t>
            </w:r>
          </w:p>
        </w:tc>
        <w:tc>
          <w:tcPr>
            <w:tcW w:w="275" w:type="dxa"/>
            <w:tcBorders>
              <w:top w:val="nil"/>
            </w:tcBorders>
          </w:tcPr>
          <w:p w14:paraId="15FA0DE4"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p>
        </w:tc>
        <w:tc>
          <w:tcPr>
            <w:tcW w:w="2617" w:type="dxa"/>
            <w:tcBorders>
              <w:top w:val="nil"/>
            </w:tcBorders>
            <w:noWrap/>
          </w:tcPr>
          <w:p w14:paraId="34F3B354"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r w:rsidRPr="00E21143">
              <w:rPr>
                <w:rFonts w:asciiTheme="majorBidi" w:hAnsiTheme="majorBidi" w:cstheme="majorBidi"/>
                <w:i/>
                <w:iCs/>
                <w:sz w:val="18"/>
                <w:szCs w:val="18"/>
              </w:rPr>
              <w:t>Prefer not to disclose</w:t>
            </w:r>
          </w:p>
        </w:tc>
        <w:tc>
          <w:tcPr>
            <w:tcW w:w="1076" w:type="dxa"/>
            <w:tcBorders>
              <w:top w:val="single" w:sz="4" w:space="0" w:color="auto"/>
            </w:tcBorders>
            <w:noWrap/>
          </w:tcPr>
          <w:p w14:paraId="04336CA5"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2.34</w:t>
            </w:r>
          </w:p>
        </w:tc>
        <w:tc>
          <w:tcPr>
            <w:tcW w:w="1260" w:type="dxa"/>
            <w:tcBorders>
              <w:top w:val="single" w:sz="4" w:space="0" w:color="auto"/>
            </w:tcBorders>
            <w:noWrap/>
          </w:tcPr>
          <w:p w14:paraId="43DBA239"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46.88</w:t>
            </w:r>
          </w:p>
        </w:tc>
        <w:tc>
          <w:tcPr>
            <w:tcW w:w="1433" w:type="dxa"/>
            <w:tcBorders>
              <w:top w:val="single" w:sz="4" w:space="0" w:color="auto"/>
            </w:tcBorders>
            <w:noWrap/>
          </w:tcPr>
          <w:p w14:paraId="5BEB4BF5"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50.00</w:t>
            </w:r>
          </w:p>
        </w:tc>
        <w:tc>
          <w:tcPr>
            <w:tcW w:w="1185" w:type="dxa"/>
            <w:tcBorders>
              <w:top w:val="single" w:sz="4" w:space="0" w:color="auto"/>
            </w:tcBorders>
            <w:noWrap/>
          </w:tcPr>
          <w:p w14:paraId="6CCDDB61"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0.78</w:t>
            </w:r>
          </w:p>
        </w:tc>
        <w:tc>
          <w:tcPr>
            <w:tcW w:w="1070" w:type="dxa"/>
            <w:tcBorders>
              <w:top w:val="single" w:sz="4" w:space="0" w:color="auto"/>
            </w:tcBorders>
            <w:noWrap/>
          </w:tcPr>
          <w:p w14:paraId="30660F3A"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31.84</w:t>
            </w:r>
          </w:p>
        </w:tc>
      </w:tr>
      <w:tr w:rsidR="00D20CA8" w:rsidRPr="00E21143" w14:paraId="02693A53" w14:textId="77777777" w:rsidTr="00A047C0">
        <w:trPr>
          <w:trHeight w:val="295"/>
        </w:trPr>
        <w:tc>
          <w:tcPr>
            <w:cnfStyle w:val="001000000000" w:firstRow="0" w:lastRow="0" w:firstColumn="1" w:lastColumn="0" w:oddVBand="0" w:evenVBand="0" w:oddHBand="0" w:evenHBand="0" w:firstRowFirstColumn="0" w:firstRowLastColumn="0" w:lastRowFirstColumn="0" w:lastRowLastColumn="0"/>
            <w:tcW w:w="527" w:type="dxa"/>
          </w:tcPr>
          <w:p w14:paraId="2B834A0C" w14:textId="77777777" w:rsidR="00405C79" w:rsidRPr="00E21143" w:rsidRDefault="00405C79" w:rsidP="005C0E20">
            <w:pPr>
              <w:contextualSpacing/>
              <w:jc w:val="lowKashida"/>
              <w:rPr>
                <w:rFonts w:asciiTheme="majorBidi" w:hAnsiTheme="majorBidi" w:cstheme="majorBidi"/>
                <w:b w:val="0"/>
                <w:bCs w:val="0"/>
                <w:i/>
                <w:iCs/>
                <w:sz w:val="18"/>
                <w:szCs w:val="18"/>
              </w:rPr>
            </w:pPr>
            <w:r w:rsidRPr="00E21143">
              <w:rPr>
                <w:rFonts w:asciiTheme="majorBidi" w:hAnsiTheme="majorBidi" w:cstheme="majorBidi"/>
                <w:i/>
                <w:iCs/>
                <w:sz w:val="18"/>
                <w:szCs w:val="18"/>
              </w:rPr>
              <w:t>1</w:t>
            </w:r>
            <w:r w:rsidRPr="00E21143">
              <w:rPr>
                <w:rFonts w:asciiTheme="majorBidi" w:hAnsiTheme="majorBidi" w:cstheme="majorBidi"/>
                <w:i/>
                <w:iCs/>
                <w:sz w:val="18"/>
                <w:szCs w:val="18"/>
                <w:vertAlign w:val="superscript"/>
              </w:rPr>
              <w:t>st</w:t>
            </w:r>
          </w:p>
        </w:tc>
        <w:tc>
          <w:tcPr>
            <w:tcW w:w="275" w:type="dxa"/>
          </w:tcPr>
          <w:p w14:paraId="66BC74DD"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p>
        </w:tc>
        <w:tc>
          <w:tcPr>
            <w:tcW w:w="2617" w:type="dxa"/>
            <w:noWrap/>
            <w:hideMark/>
          </w:tcPr>
          <w:p w14:paraId="66DC3F90"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r w:rsidRPr="00E21143">
              <w:rPr>
                <w:rFonts w:asciiTheme="majorBidi" w:hAnsiTheme="majorBidi" w:cstheme="majorBidi"/>
                <w:i/>
                <w:iCs/>
                <w:sz w:val="18"/>
                <w:szCs w:val="18"/>
              </w:rPr>
              <w:t>Less than QAR 5000 </w:t>
            </w:r>
          </w:p>
        </w:tc>
        <w:tc>
          <w:tcPr>
            <w:tcW w:w="1076" w:type="dxa"/>
            <w:noWrap/>
          </w:tcPr>
          <w:p w14:paraId="2A7F6C21"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2.70</w:t>
            </w:r>
          </w:p>
        </w:tc>
        <w:tc>
          <w:tcPr>
            <w:tcW w:w="1260" w:type="dxa"/>
            <w:noWrap/>
          </w:tcPr>
          <w:p w14:paraId="7563E848"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35.14</w:t>
            </w:r>
          </w:p>
        </w:tc>
        <w:tc>
          <w:tcPr>
            <w:tcW w:w="1433" w:type="dxa"/>
            <w:noWrap/>
          </w:tcPr>
          <w:p w14:paraId="14D2F823"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48.65</w:t>
            </w:r>
          </w:p>
        </w:tc>
        <w:tc>
          <w:tcPr>
            <w:tcW w:w="1185" w:type="dxa"/>
            <w:noWrap/>
          </w:tcPr>
          <w:p w14:paraId="7C86126E"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13.51</w:t>
            </w:r>
          </w:p>
        </w:tc>
        <w:tc>
          <w:tcPr>
            <w:tcW w:w="1070" w:type="dxa"/>
            <w:noWrap/>
          </w:tcPr>
          <w:p w14:paraId="3E7DFD3F"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9.20</w:t>
            </w:r>
          </w:p>
        </w:tc>
      </w:tr>
      <w:tr w:rsidR="00D20CA8" w:rsidRPr="00E21143" w14:paraId="316E1008" w14:textId="77777777" w:rsidTr="00A047C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527" w:type="dxa"/>
          </w:tcPr>
          <w:p w14:paraId="19EF2CDD" w14:textId="77777777" w:rsidR="00405C79" w:rsidRPr="00E21143" w:rsidRDefault="00405C79" w:rsidP="005C0E20">
            <w:pPr>
              <w:contextualSpacing/>
              <w:jc w:val="lowKashida"/>
              <w:rPr>
                <w:rFonts w:asciiTheme="majorBidi" w:hAnsiTheme="majorBidi" w:cstheme="majorBidi"/>
                <w:b w:val="0"/>
                <w:bCs w:val="0"/>
                <w:i/>
                <w:iCs/>
                <w:sz w:val="18"/>
                <w:szCs w:val="18"/>
              </w:rPr>
            </w:pPr>
            <w:r w:rsidRPr="00E21143">
              <w:rPr>
                <w:rFonts w:asciiTheme="majorBidi" w:hAnsiTheme="majorBidi" w:cstheme="majorBidi"/>
                <w:i/>
                <w:iCs/>
                <w:sz w:val="18"/>
                <w:szCs w:val="18"/>
              </w:rPr>
              <w:t>2</w:t>
            </w:r>
            <w:r w:rsidRPr="00E21143">
              <w:rPr>
                <w:rFonts w:asciiTheme="majorBidi" w:hAnsiTheme="majorBidi" w:cstheme="majorBidi"/>
                <w:i/>
                <w:iCs/>
                <w:sz w:val="18"/>
                <w:szCs w:val="18"/>
                <w:vertAlign w:val="superscript"/>
              </w:rPr>
              <w:t>nd</w:t>
            </w:r>
          </w:p>
        </w:tc>
        <w:tc>
          <w:tcPr>
            <w:tcW w:w="275" w:type="dxa"/>
          </w:tcPr>
          <w:p w14:paraId="0798E24C"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p>
        </w:tc>
        <w:tc>
          <w:tcPr>
            <w:tcW w:w="2617" w:type="dxa"/>
            <w:noWrap/>
            <w:hideMark/>
          </w:tcPr>
          <w:p w14:paraId="0F2E3715"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r w:rsidRPr="00E21143">
              <w:rPr>
                <w:rFonts w:asciiTheme="majorBidi" w:hAnsiTheme="majorBidi" w:cstheme="majorBidi"/>
                <w:i/>
                <w:iCs/>
                <w:sz w:val="18"/>
                <w:szCs w:val="18"/>
              </w:rPr>
              <w:t xml:space="preserve"> QAR 5000 to QAR 10,000</w:t>
            </w:r>
          </w:p>
        </w:tc>
        <w:tc>
          <w:tcPr>
            <w:tcW w:w="1076" w:type="dxa"/>
            <w:noWrap/>
          </w:tcPr>
          <w:p w14:paraId="7B03E051"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0.00</w:t>
            </w:r>
          </w:p>
        </w:tc>
        <w:tc>
          <w:tcPr>
            <w:tcW w:w="1260" w:type="dxa"/>
            <w:noWrap/>
          </w:tcPr>
          <w:p w14:paraId="5EC16C66"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30.43</w:t>
            </w:r>
          </w:p>
        </w:tc>
        <w:tc>
          <w:tcPr>
            <w:tcW w:w="1433" w:type="dxa"/>
            <w:noWrap/>
          </w:tcPr>
          <w:p w14:paraId="3D687154"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65.22</w:t>
            </w:r>
          </w:p>
        </w:tc>
        <w:tc>
          <w:tcPr>
            <w:tcW w:w="1185" w:type="dxa"/>
            <w:noWrap/>
          </w:tcPr>
          <w:p w14:paraId="6AD0690C"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4.35</w:t>
            </w:r>
          </w:p>
        </w:tc>
        <w:tc>
          <w:tcPr>
            <w:tcW w:w="1070" w:type="dxa"/>
            <w:noWrap/>
          </w:tcPr>
          <w:p w14:paraId="585AE0C7"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5.72</w:t>
            </w:r>
          </w:p>
        </w:tc>
      </w:tr>
      <w:tr w:rsidR="00D20CA8" w:rsidRPr="00E21143" w14:paraId="427B8749" w14:textId="77777777" w:rsidTr="00A047C0">
        <w:trPr>
          <w:trHeight w:val="295"/>
        </w:trPr>
        <w:tc>
          <w:tcPr>
            <w:cnfStyle w:val="001000000000" w:firstRow="0" w:lastRow="0" w:firstColumn="1" w:lastColumn="0" w:oddVBand="0" w:evenVBand="0" w:oddHBand="0" w:evenHBand="0" w:firstRowFirstColumn="0" w:firstRowLastColumn="0" w:lastRowFirstColumn="0" w:lastRowLastColumn="0"/>
            <w:tcW w:w="527" w:type="dxa"/>
          </w:tcPr>
          <w:p w14:paraId="6669BF4C" w14:textId="77777777" w:rsidR="00405C79" w:rsidRPr="00E21143" w:rsidRDefault="00405C79" w:rsidP="005C0E20">
            <w:pPr>
              <w:contextualSpacing/>
              <w:jc w:val="lowKashida"/>
              <w:rPr>
                <w:rFonts w:asciiTheme="majorBidi" w:hAnsiTheme="majorBidi" w:cstheme="majorBidi"/>
                <w:b w:val="0"/>
                <w:bCs w:val="0"/>
                <w:i/>
                <w:iCs/>
                <w:sz w:val="18"/>
                <w:szCs w:val="18"/>
              </w:rPr>
            </w:pPr>
            <w:r w:rsidRPr="00E21143">
              <w:rPr>
                <w:rFonts w:asciiTheme="majorBidi" w:hAnsiTheme="majorBidi" w:cstheme="majorBidi"/>
                <w:i/>
                <w:iCs/>
                <w:sz w:val="18"/>
                <w:szCs w:val="18"/>
              </w:rPr>
              <w:t>3</w:t>
            </w:r>
            <w:r w:rsidRPr="00E21143">
              <w:rPr>
                <w:rFonts w:asciiTheme="majorBidi" w:hAnsiTheme="majorBidi" w:cstheme="majorBidi"/>
                <w:i/>
                <w:iCs/>
                <w:sz w:val="18"/>
                <w:szCs w:val="18"/>
                <w:vertAlign w:val="superscript"/>
              </w:rPr>
              <w:t>rd</w:t>
            </w:r>
          </w:p>
        </w:tc>
        <w:tc>
          <w:tcPr>
            <w:tcW w:w="275" w:type="dxa"/>
          </w:tcPr>
          <w:p w14:paraId="01DCAFE3"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p>
        </w:tc>
        <w:tc>
          <w:tcPr>
            <w:tcW w:w="2617" w:type="dxa"/>
            <w:noWrap/>
            <w:hideMark/>
          </w:tcPr>
          <w:p w14:paraId="0A5452D0"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r w:rsidRPr="00E21143">
              <w:rPr>
                <w:rFonts w:asciiTheme="majorBidi" w:hAnsiTheme="majorBidi" w:cstheme="majorBidi"/>
                <w:i/>
                <w:iCs/>
                <w:sz w:val="18"/>
                <w:szCs w:val="18"/>
              </w:rPr>
              <w:t xml:space="preserve"> QAR 10,000 to QAR 15,000</w:t>
            </w:r>
          </w:p>
        </w:tc>
        <w:tc>
          <w:tcPr>
            <w:tcW w:w="1076" w:type="dxa"/>
            <w:noWrap/>
          </w:tcPr>
          <w:p w14:paraId="5FF9A3A5"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2.94</w:t>
            </w:r>
          </w:p>
        </w:tc>
        <w:tc>
          <w:tcPr>
            <w:tcW w:w="1260" w:type="dxa"/>
            <w:noWrap/>
          </w:tcPr>
          <w:p w14:paraId="0707D69D"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20.59</w:t>
            </w:r>
          </w:p>
        </w:tc>
        <w:tc>
          <w:tcPr>
            <w:tcW w:w="1433" w:type="dxa"/>
            <w:noWrap/>
          </w:tcPr>
          <w:p w14:paraId="52C0FBE2"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67.65</w:t>
            </w:r>
          </w:p>
        </w:tc>
        <w:tc>
          <w:tcPr>
            <w:tcW w:w="1185" w:type="dxa"/>
            <w:noWrap/>
          </w:tcPr>
          <w:p w14:paraId="508BE571"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8.82</w:t>
            </w:r>
          </w:p>
        </w:tc>
        <w:tc>
          <w:tcPr>
            <w:tcW w:w="1070" w:type="dxa"/>
            <w:noWrap/>
          </w:tcPr>
          <w:p w14:paraId="21EDFFD0"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8.46</w:t>
            </w:r>
          </w:p>
        </w:tc>
      </w:tr>
      <w:tr w:rsidR="00D20CA8" w:rsidRPr="00E21143" w14:paraId="1FAAACD7" w14:textId="77777777" w:rsidTr="00A047C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527" w:type="dxa"/>
          </w:tcPr>
          <w:p w14:paraId="1801C241" w14:textId="77777777" w:rsidR="00405C79" w:rsidRPr="00E21143" w:rsidRDefault="00405C79" w:rsidP="005C0E20">
            <w:pPr>
              <w:contextualSpacing/>
              <w:jc w:val="lowKashida"/>
              <w:rPr>
                <w:rFonts w:asciiTheme="majorBidi" w:hAnsiTheme="majorBidi" w:cstheme="majorBidi"/>
                <w:b w:val="0"/>
                <w:bCs w:val="0"/>
                <w:i/>
                <w:iCs/>
                <w:sz w:val="18"/>
                <w:szCs w:val="18"/>
              </w:rPr>
            </w:pPr>
            <w:r w:rsidRPr="00E21143">
              <w:rPr>
                <w:rFonts w:asciiTheme="majorBidi" w:hAnsiTheme="majorBidi" w:cstheme="majorBidi"/>
                <w:i/>
                <w:iCs/>
                <w:sz w:val="18"/>
                <w:szCs w:val="18"/>
              </w:rPr>
              <w:t>4</w:t>
            </w:r>
            <w:r w:rsidRPr="00E21143">
              <w:rPr>
                <w:rFonts w:asciiTheme="majorBidi" w:hAnsiTheme="majorBidi" w:cstheme="majorBidi"/>
                <w:i/>
                <w:iCs/>
                <w:sz w:val="18"/>
                <w:szCs w:val="18"/>
                <w:vertAlign w:val="superscript"/>
              </w:rPr>
              <w:t>th</w:t>
            </w:r>
          </w:p>
        </w:tc>
        <w:tc>
          <w:tcPr>
            <w:tcW w:w="275" w:type="dxa"/>
          </w:tcPr>
          <w:p w14:paraId="1685FD13"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p>
        </w:tc>
        <w:tc>
          <w:tcPr>
            <w:tcW w:w="2617" w:type="dxa"/>
            <w:noWrap/>
            <w:hideMark/>
          </w:tcPr>
          <w:p w14:paraId="2D4A83FE"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r w:rsidRPr="00E21143">
              <w:rPr>
                <w:rFonts w:asciiTheme="majorBidi" w:hAnsiTheme="majorBidi" w:cstheme="majorBidi"/>
                <w:i/>
                <w:iCs/>
                <w:sz w:val="18"/>
                <w:szCs w:val="18"/>
              </w:rPr>
              <w:t xml:space="preserve"> QAR 15,000 to QAR 20,000</w:t>
            </w:r>
          </w:p>
        </w:tc>
        <w:tc>
          <w:tcPr>
            <w:tcW w:w="1076" w:type="dxa"/>
            <w:noWrap/>
          </w:tcPr>
          <w:p w14:paraId="1EB662B2"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0.00</w:t>
            </w:r>
          </w:p>
        </w:tc>
        <w:tc>
          <w:tcPr>
            <w:tcW w:w="1260" w:type="dxa"/>
            <w:noWrap/>
          </w:tcPr>
          <w:p w14:paraId="55F4FBB6"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46.67</w:t>
            </w:r>
          </w:p>
        </w:tc>
        <w:tc>
          <w:tcPr>
            <w:tcW w:w="1433" w:type="dxa"/>
            <w:noWrap/>
          </w:tcPr>
          <w:p w14:paraId="32696609"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37.78</w:t>
            </w:r>
          </w:p>
        </w:tc>
        <w:tc>
          <w:tcPr>
            <w:tcW w:w="1185" w:type="dxa"/>
            <w:noWrap/>
          </w:tcPr>
          <w:p w14:paraId="107C36D9"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15.56</w:t>
            </w:r>
          </w:p>
        </w:tc>
        <w:tc>
          <w:tcPr>
            <w:tcW w:w="1070" w:type="dxa"/>
            <w:noWrap/>
          </w:tcPr>
          <w:p w14:paraId="0850D291"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11.19</w:t>
            </w:r>
          </w:p>
        </w:tc>
      </w:tr>
      <w:tr w:rsidR="00D20CA8" w:rsidRPr="00E21143" w14:paraId="52F4F769" w14:textId="77777777" w:rsidTr="00A047C0">
        <w:trPr>
          <w:trHeight w:val="295"/>
        </w:trPr>
        <w:tc>
          <w:tcPr>
            <w:cnfStyle w:val="001000000000" w:firstRow="0" w:lastRow="0" w:firstColumn="1" w:lastColumn="0" w:oddVBand="0" w:evenVBand="0" w:oddHBand="0" w:evenHBand="0" w:firstRowFirstColumn="0" w:firstRowLastColumn="0" w:lastRowFirstColumn="0" w:lastRowLastColumn="0"/>
            <w:tcW w:w="527" w:type="dxa"/>
          </w:tcPr>
          <w:p w14:paraId="71B5755E" w14:textId="77777777" w:rsidR="00405C79" w:rsidRPr="00E21143" w:rsidRDefault="00405C79" w:rsidP="005C0E20">
            <w:pPr>
              <w:contextualSpacing/>
              <w:jc w:val="lowKashida"/>
              <w:rPr>
                <w:rFonts w:asciiTheme="majorBidi" w:hAnsiTheme="majorBidi" w:cstheme="majorBidi"/>
                <w:b w:val="0"/>
                <w:bCs w:val="0"/>
                <w:i/>
                <w:iCs/>
                <w:sz w:val="18"/>
                <w:szCs w:val="18"/>
              </w:rPr>
            </w:pPr>
            <w:r w:rsidRPr="00E21143">
              <w:rPr>
                <w:rFonts w:asciiTheme="majorBidi" w:hAnsiTheme="majorBidi" w:cstheme="majorBidi"/>
                <w:i/>
                <w:iCs/>
                <w:sz w:val="18"/>
                <w:szCs w:val="18"/>
              </w:rPr>
              <w:t>5</w:t>
            </w:r>
            <w:r w:rsidRPr="00E21143">
              <w:rPr>
                <w:rFonts w:asciiTheme="majorBidi" w:hAnsiTheme="majorBidi" w:cstheme="majorBidi"/>
                <w:i/>
                <w:iCs/>
                <w:sz w:val="18"/>
                <w:szCs w:val="18"/>
                <w:vertAlign w:val="superscript"/>
              </w:rPr>
              <w:t>th</w:t>
            </w:r>
          </w:p>
        </w:tc>
        <w:tc>
          <w:tcPr>
            <w:tcW w:w="275" w:type="dxa"/>
          </w:tcPr>
          <w:p w14:paraId="59647901"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p>
        </w:tc>
        <w:tc>
          <w:tcPr>
            <w:tcW w:w="2617" w:type="dxa"/>
            <w:noWrap/>
            <w:hideMark/>
          </w:tcPr>
          <w:p w14:paraId="7E82FDE4"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r w:rsidRPr="00E21143">
              <w:rPr>
                <w:rFonts w:asciiTheme="majorBidi" w:hAnsiTheme="majorBidi" w:cstheme="majorBidi"/>
                <w:i/>
                <w:iCs/>
                <w:sz w:val="18"/>
                <w:szCs w:val="18"/>
              </w:rPr>
              <w:t xml:space="preserve"> QAR 20,000 to QAR 25,000</w:t>
            </w:r>
          </w:p>
        </w:tc>
        <w:tc>
          <w:tcPr>
            <w:tcW w:w="1076" w:type="dxa"/>
            <w:noWrap/>
          </w:tcPr>
          <w:p w14:paraId="02530E91"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3.03</w:t>
            </w:r>
          </w:p>
        </w:tc>
        <w:tc>
          <w:tcPr>
            <w:tcW w:w="1260" w:type="dxa"/>
            <w:noWrap/>
          </w:tcPr>
          <w:p w14:paraId="4762722B"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33.33</w:t>
            </w:r>
          </w:p>
        </w:tc>
        <w:tc>
          <w:tcPr>
            <w:tcW w:w="1433" w:type="dxa"/>
            <w:noWrap/>
          </w:tcPr>
          <w:p w14:paraId="26C2BCE2"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57.58</w:t>
            </w:r>
          </w:p>
        </w:tc>
        <w:tc>
          <w:tcPr>
            <w:tcW w:w="1185" w:type="dxa"/>
            <w:noWrap/>
          </w:tcPr>
          <w:p w14:paraId="17D4EBBE"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6.06</w:t>
            </w:r>
          </w:p>
        </w:tc>
        <w:tc>
          <w:tcPr>
            <w:tcW w:w="1070" w:type="dxa"/>
            <w:noWrap/>
          </w:tcPr>
          <w:p w14:paraId="5E648FFE"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16.42</w:t>
            </w:r>
          </w:p>
        </w:tc>
      </w:tr>
      <w:tr w:rsidR="00D20CA8" w:rsidRPr="00E21143" w14:paraId="50BA219C" w14:textId="77777777" w:rsidTr="00A047C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527" w:type="dxa"/>
          </w:tcPr>
          <w:p w14:paraId="1AC465D1" w14:textId="77777777" w:rsidR="00405C79" w:rsidRPr="00E21143" w:rsidRDefault="00405C79" w:rsidP="005C0E20">
            <w:pPr>
              <w:contextualSpacing/>
              <w:jc w:val="lowKashida"/>
              <w:rPr>
                <w:rFonts w:asciiTheme="majorBidi" w:hAnsiTheme="majorBidi" w:cstheme="majorBidi"/>
                <w:b w:val="0"/>
                <w:bCs w:val="0"/>
                <w:i/>
                <w:iCs/>
                <w:sz w:val="18"/>
                <w:szCs w:val="18"/>
              </w:rPr>
            </w:pPr>
            <w:r w:rsidRPr="00E21143">
              <w:rPr>
                <w:rFonts w:asciiTheme="majorBidi" w:hAnsiTheme="majorBidi" w:cstheme="majorBidi"/>
                <w:i/>
                <w:iCs/>
                <w:sz w:val="18"/>
                <w:szCs w:val="18"/>
              </w:rPr>
              <w:t>6</w:t>
            </w:r>
            <w:r w:rsidRPr="00E21143">
              <w:rPr>
                <w:rFonts w:asciiTheme="majorBidi" w:hAnsiTheme="majorBidi" w:cstheme="majorBidi"/>
                <w:i/>
                <w:iCs/>
                <w:sz w:val="18"/>
                <w:szCs w:val="18"/>
                <w:vertAlign w:val="superscript"/>
              </w:rPr>
              <w:t>th</w:t>
            </w:r>
          </w:p>
        </w:tc>
        <w:tc>
          <w:tcPr>
            <w:tcW w:w="275" w:type="dxa"/>
          </w:tcPr>
          <w:p w14:paraId="7B82C143"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p>
        </w:tc>
        <w:tc>
          <w:tcPr>
            <w:tcW w:w="2617" w:type="dxa"/>
            <w:noWrap/>
            <w:hideMark/>
          </w:tcPr>
          <w:p w14:paraId="623D2C56"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r w:rsidRPr="00E21143">
              <w:rPr>
                <w:rFonts w:asciiTheme="majorBidi" w:hAnsiTheme="majorBidi" w:cstheme="majorBidi"/>
                <w:i/>
                <w:iCs/>
                <w:sz w:val="18"/>
                <w:szCs w:val="18"/>
              </w:rPr>
              <w:t xml:space="preserve"> QAR 25,000 to QAR 30,000</w:t>
            </w:r>
          </w:p>
        </w:tc>
        <w:tc>
          <w:tcPr>
            <w:tcW w:w="1076" w:type="dxa"/>
            <w:noWrap/>
          </w:tcPr>
          <w:p w14:paraId="5FDAC8F7"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6.90</w:t>
            </w:r>
          </w:p>
        </w:tc>
        <w:tc>
          <w:tcPr>
            <w:tcW w:w="1260" w:type="dxa"/>
            <w:noWrap/>
          </w:tcPr>
          <w:p w14:paraId="675C90E2"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31.03</w:t>
            </w:r>
          </w:p>
        </w:tc>
        <w:tc>
          <w:tcPr>
            <w:tcW w:w="1433" w:type="dxa"/>
            <w:noWrap/>
          </w:tcPr>
          <w:p w14:paraId="652F102E"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51.72</w:t>
            </w:r>
          </w:p>
        </w:tc>
        <w:tc>
          <w:tcPr>
            <w:tcW w:w="1185" w:type="dxa"/>
            <w:noWrap/>
          </w:tcPr>
          <w:p w14:paraId="598CABFF"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10.34</w:t>
            </w:r>
          </w:p>
        </w:tc>
        <w:tc>
          <w:tcPr>
            <w:tcW w:w="1070" w:type="dxa"/>
            <w:noWrap/>
          </w:tcPr>
          <w:p w14:paraId="04AF3613"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7.21</w:t>
            </w:r>
          </w:p>
        </w:tc>
      </w:tr>
      <w:tr w:rsidR="00D20CA8" w:rsidRPr="00E21143" w14:paraId="75F17A9E" w14:textId="77777777" w:rsidTr="00A047C0">
        <w:trPr>
          <w:trHeight w:val="295"/>
        </w:trPr>
        <w:tc>
          <w:tcPr>
            <w:cnfStyle w:val="001000000000" w:firstRow="0" w:lastRow="0" w:firstColumn="1" w:lastColumn="0" w:oddVBand="0" w:evenVBand="0" w:oddHBand="0" w:evenHBand="0" w:firstRowFirstColumn="0" w:firstRowLastColumn="0" w:lastRowFirstColumn="0" w:lastRowLastColumn="0"/>
            <w:tcW w:w="527" w:type="dxa"/>
          </w:tcPr>
          <w:p w14:paraId="0FA84C0B" w14:textId="77777777" w:rsidR="00405C79" w:rsidRPr="00E21143" w:rsidRDefault="00405C79" w:rsidP="005C0E20">
            <w:pPr>
              <w:contextualSpacing/>
              <w:jc w:val="lowKashida"/>
              <w:rPr>
                <w:rFonts w:asciiTheme="majorBidi" w:hAnsiTheme="majorBidi" w:cstheme="majorBidi"/>
                <w:b w:val="0"/>
                <w:bCs w:val="0"/>
                <w:i/>
                <w:iCs/>
                <w:sz w:val="18"/>
                <w:szCs w:val="18"/>
              </w:rPr>
            </w:pPr>
            <w:r w:rsidRPr="00E21143">
              <w:rPr>
                <w:rFonts w:asciiTheme="majorBidi" w:hAnsiTheme="majorBidi" w:cstheme="majorBidi"/>
                <w:i/>
                <w:iCs/>
                <w:sz w:val="18"/>
                <w:szCs w:val="18"/>
              </w:rPr>
              <w:t>7th</w:t>
            </w:r>
          </w:p>
        </w:tc>
        <w:tc>
          <w:tcPr>
            <w:tcW w:w="275" w:type="dxa"/>
          </w:tcPr>
          <w:p w14:paraId="467A0AD4"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p>
        </w:tc>
        <w:tc>
          <w:tcPr>
            <w:tcW w:w="2617" w:type="dxa"/>
            <w:noWrap/>
            <w:hideMark/>
          </w:tcPr>
          <w:p w14:paraId="52FE2FC5"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r w:rsidRPr="00E21143">
              <w:rPr>
                <w:rFonts w:asciiTheme="majorBidi" w:hAnsiTheme="majorBidi" w:cstheme="majorBidi"/>
                <w:i/>
                <w:iCs/>
                <w:sz w:val="18"/>
                <w:szCs w:val="18"/>
              </w:rPr>
              <w:t>More than QAR 30,000</w:t>
            </w:r>
          </w:p>
        </w:tc>
        <w:tc>
          <w:tcPr>
            <w:tcW w:w="1076" w:type="dxa"/>
            <w:noWrap/>
          </w:tcPr>
          <w:p w14:paraId="7C7B80B7"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7.50</w:t>
            </w:r>
          </w:p>
        </w:tc>
        <w:tc>
          <w:tcPr>
            <w:tcW w:w="1260" w:type="dxa"/>
            <w:noWrap/>
          </w:tcPr>
          <w:p w14:paraId="2905D8C1"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22.50</w:t>
            </w:r>
          </w:p>
        </w:tc>
        <w:tc>
          <w:tcPr>
            <w:tcW w:w="1433" w:type="dxa"/>
            <w:noWrap/>
          </w:tcPr>
          <w:p w14:paraId="605929B8"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65.00</w:t>
            </w:r>
          </w:p>
        </w:tc>
        <w:tc>
          <w:tcPr>
            <w:tcW w:w="1185" w:type="dxa"/>
            <w:noWrap/>
          </w:tcPr>
          <w:p w14:paraId="57A26E3B"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5.00</w:t>
            </w:r>
          </w:p>
        </w:tc>
        <w:tc>
          <w:tcPr>
            <w:tcW w:w="1070" w:type="dxa"/>
            <w:noWrap/>
          </w:tcPr>
          <w:p w14:paraId="0D6BA6FA" w14:textId="77777777" w:rsidR="00405C79" w:rsidRPr="00E21143" w:rsidRDefault="00405C79" w:rsidP="005C0E20">
            <w:pPr>
              <w:contextualSpacing/>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9.95</w:t>
            </w:r>
          </w:p>
        </w:tc>
      </w:tr>
      <w:tr w:rsidR="00D20CA8" w:rsidRPr="00E21143" w14:paraId="1764A173" w14:textId="77777777" w:rsidTr="00A047C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527" w:type="dxa"/>
          </w:tcPr>
          <w:p w14:paraId="4BF9E946" w14:textId="77777777" w:rsidR="00405C79" w:rsidRPr="00E21143" w:rsidRDefault="00405C79" w:rsidP="005C0E20">
            <w:pPr>
              <w:contextualSpacing/>
              <w:jc w:val="lowKashida"/>
              <w:rPr>
                <w:rFonts w:asciiTheme="majorBidi" w:hAnsiTheme="majorBidi" w:cstheme="majorBidi"/>
                <w:b w:val="0"/>
                <w:bCs w:val="0"/>
                <w:sz w:val="18"/>
                <w:szCs w:val="18"/>
              </w:rPr>
            </w:pPr>
          </w:p>
        </w:tc>
        <w:tc>
          <w:tcPr>
            <w:tcW w:w="275" w:type="dxa"/>
          </w:tcPr>
          <w:p w14:paraId="4D76EF3B"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tcW w:w="2617" w:type="dxa"/>
            <w:noWrap/>
            <w:hideMark/>
          </w:tcPr>
          <w:p w14:paraId="66C48B3D"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Total</w:t>
            </w:r>
          </w:p>
        </w:tc>
        <w:tc>
          <w:tcPr>
            <w:tcW w:w="1076" w:type="dxa"/>
            <w:noWrap/>
          </w:tcPr>
          <w:p w14:paraId="1D1E9714"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2.99</w:t>
            </w:r>
          </w:p>
        </w:tc>
        <w:tc>
          <w:tcPr>
            <w:tcW w:w="1260" w:type="dxa"/>
            <w:noWrap/>
          </w:tcPr>
          <w:p w14:paraId="39968DAB"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36.82</w:t>
            </w:r>
          </w:p>
        </w:tc>
        <w:tc>
          <w:tcPr>
            <w:tcW w:w="1433" w:type="dxa"/>
            <w:noWrap/>
          </w:tcPr>
          <w:p w14:paraId="5FC5A3D3"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53.73</w:t>
            </w:r>
          </w:p>
        </w:tc>
        <w:tc>
          <w:tcPr>
            <w:tcW w:w="1185" w:type="dxa"/>
            <w:noWrap/>
          </w:tcPr>
          <w:p w14:paraId="3C2AB32A"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6.47</w:t>
            </w:r>
          </w:p>
        </w:tc>
        <w:tc>
          <w:tcPr>
            <w:tcW w:w="1070" w:type="dxa"/>
            <w:noWrap/>
          </w:tcPr>
          <w:p w14:paraId="4D28201C" w14:textId="77777777" w:rsidR="00405C79" w:rsidRPr="00E21143" w:rsidRDefault="00405C79" w:rsidP="005C0E20">
            <w:pPr>
              <w:contextualSpacing/>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100.00</w:t>
            </w:r>
          </w:p>
        </w:tc>
      </w:tr>
    </w:tbl>
    <w:p w14:paraId="56341062" w14:textId="77777777" w:rsidR="00900A0E" w:rsidRPr="00D20CA8" w:rsidRDefault="00900A0E" w:rsidP="005C0E20">
      <w:pPr>
        <w:jc w:val="lowKashida"/>
        <w:rPr>
          <w:rFonts w:asciiTheme="majorBidi" w:hAnsiTheme="majorBidi" w:cstheme="majorBidi"/>
          <w:sz w:val="24"/>
          <w:szCs w:val="24"/>
        </w:rPr>
      </w:pPr>
    </w:p>
    <w:p w14:paraId="266567FB" w14:textId="18E487B2"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Table 13 presents the willingness to pay for reusable products compared to disposable ones. Approximately 57% of respondents are willing to pay an adequate amount for reusable products, while 33% are willing to pay less, 6% are willing to pay a large amount, and 4% are not willing to pay at all. When examining different income ranges, </w:t>
      </w:r>
      <w:r w:rsidR="00F436A1">
        <w:rPr>
          <w:rFonts w:asciiTheme="majorBidi" w:hAnsiTheme="majorBidi" w:cstheme="majorBidi"/>
          <w:sz w:val="24"/>
          <w:szCs w:val="24"/>
        </w:rPr>
        <w:t>most</w:t>
      </w:r>
      <w:r w:rsidRPr="00D20CA8">
        <w:rPr>
          <w:rFonts w:asciiTheme="majorBidi" w:hAnsiTheme="majorBidi" w:cstheme="majorBidi"/>
          <w:sz w:val="24"/>
          <w:szCs w:val="24"/>
        </w:rPr>
        <w:t xml:space="preserve"> respondents across income groups are willing to pay an adequate amount for reusable products, with figures exceeding 50%. This trend is understandable given </w:t>
      </w:r>
      <w:r w:rsidR="00F436A1">
        <w:rPr>
          <w:rFonts w:asciiTheme="majorBidi" w:hAnsiTheme="majorBidi" w:cstheme="majorBidi"/>
          <w:sz w:val="24"/>
          <w:szCs w:val="24"/>
        </w:rPr>
        <w:t>reusable products' environmental and economic sustainability</w:t>
      </w:r>
      <w:r w:rsidRPr="00D20CA8">
        <w:rPr>
          <w:rFonts w:asciiTheme="majorBidi" w:hAnsiTheme="majorBidi" w:cstheme="majorBidi"/>
          <w:sz w:val="24"/>
          <w:szCs w:val="24"/>
        </w:rPr>
        <w:t>, promoting item reutilization.</w:t>
      </w:r>
    </w:p>
    <w:p w14:paraId="1B52BCA3" w14:textId="77777777" w:rsidR="00900A0E" w:rsidRPr="00D20CA8" w:rsidRDefault="00900A0E" w:rsidP="005C0E20">
      <w:pPr>
        <w:jc w:val="lowKashida"/>
        <w:rPr>
          <w:rFonts w:asciiTheme="majorBidi" w:hAnsiTheme="majorBidi" w:cstheme="majorBidi"/>
          <w:sz w:val="24"/>
          <w:szCs w:val="24"/>
        </w:rPr>
      </w:pPr>
    </w:p>
    <w:p w14:paraId="501B7262" w14:textId="7777777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Table 13: Willingness to Pay for Reusable Products.</w:t>
      </w:r>
    </w:p>
    <w:p w14:paraId="7612EE8C" w14:textId="77777777" w:rsidR="00405C79"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lastRenderedPageBreak/>
        <w:tab/>
      </w:r>
      <w:r w:rsidRPr="00D20CA8">
        <w:rPr>
          <w:rFonts w:asciiTheme="majorBidi" w:hAnsiTheme="majorBidi" w:cstheme="majorBidi"/>
          <w:sz w:val="24"/>
          <w:szCs w:val="24"/>
        </w:rPr>
        <w:tab/>
      </w:r>
    </w:p>
    <w:tbl>
      <w:tblPr>
        <w:tblStyle w:val="PlainTable4"/>
        <w:tblW w:w="94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
        <w:gridCol w:w="275"/>
        <w:gridCol w:w="2617"/>
        <w:gridCol w:w="1076"/>
        <w:gridCol w:w="1260"/>
        <w:gridCol w:w="1433"/>
        <w:gridCol w:w="1185"/>
        <w:gridCol w:w="1070"/>
      </w:tblGrid>
      <w:tr w:rsidR="00D20CA8" w:rsidRPr="00E21143" w14:paraId="0FDD2F3C" w14:textId="77777777" w:rsidTr="00A047C0">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527" w:type="dxa"/>
          </w:tcPr>
          <w:p w14:paraId="4F5674BC" w14:textId="77777777" w:rsidR="00405C79" w:rsidRPr="00E21143" w:rsidRDefault="00405C79" w:rsidP="005C0E20">
            <w:pPr>
              <w:jc w:val="lowKashida"/>
              <w:rPr>
                <w:rFonts w:asciiTheme="majorBidi" w:hAnsiTheme="majorBidi" w:cstheme="majorBidi"/>
                <w:b w:val="0"/>
                <w:bCs w:val="0"/>
                <w:i/>
                <w:iCs/>
                <w:sz w:val="18"/>
                <w:szCs w:val="18"/>
              </w:rPr>
            </w:pPr>
          </w:p>
        </w:tc>
        <w:tc>
          <w:tcPr>
            <w:tcW w:w="275" w:type="dxa"/>
          </w:tcPr>
          <w:p w14:paraId="42C91E26" w14:textId="77777777" w:rsidR="00405C79" w:rsidRPr="00E21143" w:rsidRDefault="00405C79" w:rsidP="005C0E20">
            <w:pPr>
              <w:jc w:val="lowKashida"/>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iCs/>
                <w:sz w:val="18"/>
                <w:szCs w:val="18"/>
              </w:rPr>
            </w:pPr>
          </w:p>
        </w:tc>
        <w:tc>
          <w:tcPr>
            <w:tcW w:w="2617" w:type="dxa"/>
            <w:noWrap/>
          </w:tcPr>
          <w:p w14:paraId="38966714" w14:textId="77777777" w:rsidR="00405C79" w:rsidRPr="00E21143" w:rsidRDefault="00405C79" w:rsidP="005C0E20">
            <w:pPr>
              <w:jc w:val="lowKashida"/>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iCs/>
                <w:sz w:val="18"/>
                <w:szCs w:val="18"/>
              </w:rPr>
            </w:pPr>
            <w:r w:rsidRPr="00E21143">
              <w:rPr>
                <w:rFonts w:asciiTheme="majorBidi" w:hAnsiTheme="majorBidi" w:cstheme="majorBidi"/>
                <w:sz w:val="18"/>
                <w:szCs w:val="18"/>
              </w:rPr>
              <w:t>Income Range</w:t>
            </w:r>
          </w:p>
        </w:tc>
        <w:tc>
          <w:tcPr>
            <w:tcW w:w="1076" w:type="dxa"/>
            <w:noWrap/>
          </w:tcPr>
          <w:p w14:paraId="7CFD4AD8" w14:textId="77777777" w:rsidR="00405C79" w:rsidRPr="00E21143" w:rsidRDefault="00405C79" w:rsidP="005C0E20">
            <w:pPr>
              <w:jc w:val="lowKashida"/>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Pr>
            </w:pPr>
          </w:p>
        </w:tc>
        <w:tc>
          <w:tcPr>
            <w:tcW w:w="4948" w:type="dxa"/>
            <w:gridSpan w:val="4"/>
            <w:noWrap/>
          </w:tcPr>
          <w:p w14:paraId="1C2D45D8" w14:textId="532903AF" w:rsidR="00405C79" w:rsidRPr="00E21143" w:rsidRDefault="00405C79" w:rsidP="005C0E20">
            <w:pPr>
              <w:jc w:val="lowKashida"/>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Pr>
            </w:pPr>
            <w:r w:rsidRPr="00E21143">
              <w:rPr>
                <w:rFonts w:asciiTheme="majorBidi" w:hAnsiTheme="majorBidi" w:cstheme="majorBidi"/>
                <w:sz w:val="18"/>
                <w:szCs w:val="18"/>
              </w:rPr>
              <w:t>Willingness to Pay for reusable product</w:t>
            </w:r>
          </w:p>
        </w:tc>
      </w:tr>
      <w:tr w:rsidR="00D20CA8" w:rsidRPr="00E21143" w14:paraId="4A8D12CF" w14:textId="77777777" w:rsidTr="00A047C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527" w:type="dxa"/>
          </w:tcPr>
          <w:p w14:paraId="3369DA61" w14:textId="77777777" w:rsidR="00405C79" w:rsidRPr="00E21143" w:rsidRDefault="00405C79" w:rsidP="005C0E20">
            <w:pPr>
              <w:jc w:val="lowKashida"/>
              <w:rPr>
                <w:rFonts w:asciiTheme="majorBidi" w:hAnsiTheme="majorBidi" w:cstheme="majorBidi"/>
                <w:b w:val="0"/>
                <w:bCs w:val="0"/>
                <w:i/>
                <w:iCs/>
                <w:sz w:val="18"/>
                <w:szCs w:val="18"/>
              </w:rPr>
            </w:pPr>
          </w:p>
        </w:tc>
        <w:tc>
          <w:tcPr>
            <w:tcW w:w="275" w:type="dxa"/>
          </w:tcPr>
          <w:p w14:paraId="7EEB7CF2"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p>
        </w:tc>
        <w:tc>
          <w:tcPr>
            <w:tcW w:w="2617" w:type="dxa"/>
            <w:noWrap/>
          </w:tcPr>
          <w:p w14:paraId="2B255B95"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p>
        </w:tc>
        <w:tc>
          <w:tcPr>
            <w:tcW w:w="1076" w:type="dxa"/>
            <w:noWrap/>
          </w:tcPr>
          <w:p w14:paraId="53372CC8"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Nothing</w:t>
            </w:r>
          </w:p>
        </w:tc>
        <w:tc>
          <w:tcPr>
            <w:tcW w:w="1260" w:type="dxa"/>
            <w:noWrap/>
          </w:tcPr>
          <w:p w14:paraId="06BDE3B4"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Less amount</w:t>
            </w:r>
          </w:p>
        </w:tc>
        <w:tc>
          <w:tcPr>
            <w:tcW w:w="1433" w:type="dxa"/>
            <w:noWrap/>
          </w:tcPr>
          <w:p w14:paraId="3DD52B36"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Adequate amount</w:t>
            </w:r>
          </w:p>
        </w:tc>
        <w:tc>
          <w:tcPr>
            <w:tcW w:w="1185" w:type="dxa"/>
            <w:noWrap/>
          </w:tcPr>
          <w:p w14:paraId="35E780A6"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Large amount</w:t>
            </w:r>
          </w:p>
        </w:tc>
        <w:tc>
          <w:tcPr>
            <w:tcW w:w="1070" w:type="dxa"/>
            <w:noWrap/>
          </w:tcPr>
          <w:p w14:paraId="0D3F2578"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Total</w:t>
            </w:r>
          </w:p>
        </w:tc>
      </w:tr>
      <w:tr w:rsidR="00D20CA8" w:rsidRPr="00E21143" w14:paraId="08AB9D86" w14:textId="77777777" w:rsidTr="00A047C0">
        <w:trPr>
          <w:trHeight w:val="295"/>
        </w:trPr>
        <w:tc>
          <w:tcPr>
            <w:cnfStyle w:val="001000000000" w:firstRow="0" w:lastRow="0" w:firstColumn="1" w:lastColumn="0" w:oddVBand="0" w:evenVBand="0" w:oddHBand="0" w:evenHBand="0" w:firstRowFirstColumn="0" w:firstRowLastColumn="0" w:lastRowFirstColumn="0" w:lastRowLastColumn="0"/>
            <w:tcW w:w="527" w:type="dxa"/>
          </w:tcPr>
          <w:p w14:paraId="21175B1B" w14:textId="77777777" w:rsidR="00405C79" w:rsidRPr="00E21143" w:rsidRDefault="00405C79" w:rsidP="005C0E20">
            <w:pPr>
              <w:jc w:val="lowKashida"/>
              <w:rPr>
                <w:rFonts w:asciiTheme="majorBidi" w:hAnsiTheme="majorBidi" w:cstheme="majorBidi"/>
                <w:b w:val="0"/>
                <w:bCs w:val="0"/>
                <w:i/>
                <w:iCs/>
                <w:sz w:val="18"/>
                <w:szCs w:val="18"/>
              </w:rPr>
            </w:pPr>
          </w:p>
        </w:tc>
        <w:tc>
          <w:tcPr>
            <w:tcW w:w="275" w:type="dxa"/>
          </w:tcPr>
          <w:p w14:paraId="180ECE5D"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p>
        </w:tc>
        <w:tc>
          <w:tcPr>
            <w:tcW w:w="2617" w:type="dxa"/>
            <w:noWrap/>
          </w:tcPr>
          <w:p w14:paraId="0B0F7811"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p>
        </w:tc>
        <w:tc>
          <w:tcPr>
            <w:tcW w:w="1076" w:type="dxa"/>
            <w:noWrap/>
          </w:tcPr>
          <w:p w14:paraId="6B7DD314"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w:t>
            </w:r>
          </w:p>
        </w:tc>
        <w:tc>
          <w:tcPr>
            <w:tcW w:w="1260" w:type="dxa"/>
            <w:noWrap/>
          </w:tcPr>
          <w:p w14:paraId="55179B3A"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w:t>
            </w:r>
          </w:p>
        </w:tc>
        <w:tc>
          <w:tcPr>
            <w:tcW w:w="1433" w:type="dxa"/>
            <w:noWrap/>
          </w:tcPr>
          <w:p w14:paraId="05AAEEBE"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w:t>
            </w:r>
          </w:p>
        </w:tc>
        <w:tc>
          <w:tcPr>
            <w:tcW w:w="1185" w:type="dxa"/>
            <w:noWrap/>
          </w:tcPr>
          <w:p w14:paraId="0995AD5E"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w:t>
            </w:r>
          </w:p>
        </w:tc>
        <w:tc>
          <w:tcPr>
            <w:tcW w:w="1070" w:type="dxa"/>
            <w:noWrap/>
          </w:tcPr>
          <w:p w14:paraId="4E28A76B"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w:t>
            </w:r>
          </w:p>
        </w:tc>
      </w:tr>
      <w:tr w:rsidR="00D20CA8" w:rsidRPr="00E21143" w14:paraId="01E861C4" w14:textId="77777777" w:rsidTr="00A047C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527" w:type="dxa"/>
          </w:tcPr>
          <w:p w14:paraId="3AC6D580" w14:textId="77777777" w:rsidR="00405C79" w:rsidRPr="00E21143" w:rsidRDefault="00405C79" w:rsidP="005C0E20">
            <w:pPr>
              <w:jc w:val="lowKashida"/>
              <w:rPr>
                <w:rFonts w:asciiTheme="majorBidi" w:hAnsiTheme="majorBidi" w:cstheme="majorBidi"/>
                <w:b w:val="0"/>
                <w:bCs w:val="0"/>
                <w:i/>
                <w:iCs/>
                <w:sz w:val="18"/>
                <w:szCs w:val="18"/>
              </w:rPr>
            </w:pPr>
            <w:r w:rsidRPr="00E21143">
              <w:rPr>
                <w:rFonts w:asciiTheme="majorBidi" w:hAnsiTheme="majorBidi" w:cstheme="majorBidi"/>
                <w:i/>
                <w:iCs/>
                <w:sz w:val="18"/>
                <w:szCs w:val="18"/>
              </w:rPr>
              <w:t>-</w:t>
            </w:r>
          </w:p>
        </w:tc>
        <w:tc>
          <w:tcPr>
            <w:tcW w:w="275" w:type="dxa"/>
          </w:tcPr>
          <w:p w14:paraId="78F975B3"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p>
        </w:tc>
        <w:tc>
          <w:tcPr>
            <w:tcW w:w="2617" w:type="dxa"/>
            <w:noWrap/>
          </w:tcPr>
          <w:p w14:paraId="15254AF1"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r w:rsidRPr="00E21143">
              <w:rPr>
                <w:rFonts w:asciiTheme="majorBidi" w:hAnsiTheme="majorBidi" w:cstheme="majorBidi"/>
                <w:i/>
                <w:iCs/>
                <w:sz w:val="18"/>
                <w:szCs w:val="18"/>
              </w:rPr>
              <w:t>Prefer not to disclose</w:t>
            </w:r>
          </w:p>
        </w:tc>
        <w:tc>
          <w:tcPr>
            <w:tcW w:w="1076" w:type="dxa"/>
            <w:noWrap/>
          </w:tcPr>
          <w:p w14:paraId="52B8BD37"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4.69</w:t>
            </w:r>
          </w:p>
        </w:tc>
        <w:tc>
          <w:tcPr>
            <w:tcW w:w="1260" w:type="dxa"/>
            <w:noWrap/>
          </w:tcPr>
          <w:p w14:paraId="143FD3A1"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43.75</w:t>
            </w:r>
          </w:p>
        </w:tc>
        <w:tc>
          <w:tcPr>
            <w:tcW w:w="1433" w:type="dxa"/>
            <w:noWrap/>
          </w:tcPr>
          <w:p w14:paraId="6FA6897F"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50.78</w:t>
            </w:r>
          </w:p>
        </w:tc>
        <w:tc>
          <w:tcPr>
            <w:tcW w:w="1185" w:type="dxa"/>
            <w:noWrap/>
          </w:tcPr>
          <w:p w14:paraId="62F5CE50"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0.78</w:t>
            </w:r>
          </w:p>
        </w:tc>
        <w:tc>
          <w:tcPr>
            <w:tcW w:w="1070" w:type="dxa"/>
            <w:noWrap/>
          </w:tcPr>
          <w:p w14:paraId="0AF8B29A"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31.84</w:t>
            </w:r>
          </w:p>
        </w:tc>
      </w:tr>
      <w:tr w:rsidR="00D20CA8" w:rsidRPr="00E21143" w14:paraId="5E50C05B" w14:textId="77777777" w:rsidTr="00A047C0">
        <w:trPr>
          <w:trHeight w:val="295"/>
        </w:trPr>
        <w:tc>
          <w:tcPr>
            <w:cnfStyle w:val="001000000000" w:firstRow="0" w:lastRow="0" w:firstColumn="1" w:lastColumn="0" w:oddVBand="0" w:evenVBand="0" w:oddHBand="0" w:evenHBand="0" w:firstRowFirstColumn="0" w:firstRowLastColumn="0" w:lastRowFirstColumn="0" w:lastRowLastColumn="0"/>
            <w:tcW w:w="527" w:type="dxa"/>
          </w:tcPr>
          <w:p w14:paraId="4AFB48EF" w14:textId="77777777" w:rsidR="00405C79" w:rsidRPr="00E21143" w:rsidRDefault="00405C79" w:rsidP="005C0E20">
            <w:pPr>
              <w:jc w:val="lowKashida"/>
              <w:rPr>
                <w:rFonts w:asciiTheme="majorBidi" w:hAnsiTheme="majorBidi" w:cstheme="majorBidi"/>
                <w:b w:val="0"/>
                <w:bCs w:val="0"/>
                <w:i/>
                <w:iCs/>
                <w:sz w:val="18"/>
                <w:szCs w:val="18"/>
              </w:rPr>
            </w:pPr>
            <w:r w:rsidRPr="00E21143">
              <w:rPr>
                <w:rFonts w:asciiTheme="majorBidi" w:hAnsiTheme="majorBidi" w:cstheme="majorBidi"/>
                <w:i/>
                <w:iCs/>
                <w:sz w:val="18"/>
                <w:szCs w:val="18"/>
              </w:rPr>
              <w:t>1</w:t>
            </w:r>
            <w:r w:rsidRPr="00E21143">
              <w:rPr>
                <w:rFonts w:asciiTheme="majorBidi" w:hAnsiTheme="majorBidi" w:cstheme="majorBidi"/>
                <w:i/>
                <w:iCs/>
                <w:sz w:val="18"/>
                <w:szCs w:val="18"/>
                <w:vertAlign w:val="superscript"/>
              </w:rPr>
              <w:t>st</w:t>
            </w:r>
          </w:p>
        </w:tc>
        <w:tc>
          <w:tcPr>
            <w:tcW w:w="275" w:type="dxa"/>
          </w:tcPr>
          <w:p w14:paraId="2529E387"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p>
        </w:tc>
        <w:tc>
          <w:tcPr>
            <w:tcW w:w="2617" w:type="dxa"/>
            <w:noWrap/>
            <w:hideMark/>
          </w:tcPr>
          <w:p w14:paraId="530A6F55"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r w:rsidRPr="00E21143">
              <w:rPr>
                <w:rFonts w:asciiTheme="majorBidi" w:hAnsiTheme="majorBidi" w:cstheme="majorBidi"/>
                <w:i/>
                <w:iCs/>
                <w:sz w:val="18"/>
                <w:szCs w:val="18"/>
              </w:rPr>
              <w:t>Less than QAR 5000 </w:t>
            </w:r>
          </w:p>
        </w:tc>
        <w:tc>
          <w:tcPr>
            <w:tcW w:w="1076" w:type="dxa"/>
            <w:noWrap/>
          </w:tcPr>
          <w:p w14:paraId="525E000C"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2.70</w:t>
            </w:r>
          </w:p>
        </w:tc>
        <w:tc>
          <w:tcPr>
            <w:tcW w:w="1260" w:type="dxa"/>
            <w:noWrap/>
          </w:tcPr>
          <w:p w14:paraId="7B34A2F9"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24.32</w:t>
            </w:r>
          </w:p>
        </w:tc>
        <w:tc>
          <w:tcPr>
            <w:tcW w:w="1433" w:type="dxa"/>
            <w:noWrap/>
          </w:tcPr>
          <w:p w14:paraId="2D5D29C3"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54.05</w:t>
            </w:r>
          </w:p>
        </w:tc>
        <w:tc>
          <w:tcPr>
            <w:tcW w:w="1185" w:type="dxa"/>
            <w:noWrap/>
          </w:tcPr>
          <w:p w14:paraId="6A17E8B1"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18.92</w:t>
            </w:r>
          </w:p>
        </w:tc>
        <w:tc>
          <w:tcPr>
            <w:tcW w:w="1070" w:type="dxa"/>
            <w:noWrap/>
          </w:tcPr>
          <w:p w14:paraId="3246B9C0"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9.20</w:t>
            </w:r>
          </w:p>
        </w:tc>
      </w:tr>
      <w:tr w:rsidR="00D20CA8" w:rsidRPr="00E21143" w14:paraId="1ABB220C" w14:textId="77777777" w:rsidTr="00A047C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527" w:type="dxa"/>
          </w:tcPr>
          <w:p w14:paraId="5AF05972" w14:textId="77777777" w:rsidR="00405C79" w:rsidRPr="00E21143" w:rsidRDefault="00405C79" w:rsidP="005C0E20">
            <w:pPr>
              <w:jc w:val="lowKashida"/>
              <w:rPr>
                <w:rFonts w:asciiTheme="majorBidi" w:hAnsiTheme="majorBidi" w:cstheme="majorBidi"/>
                <w:b w:val="0"/>
                <w:bCs w:val="0"/>
                <w:i/>
                <w:iCs/>
                <w:sz w:val="18"/>
                <w:szCs w:val="18"/>
              </w:rPr>
            </w:pPr>
            <w:r w:rsidRPr="00E21143">
              <w:rPr>
                <w:rFonts w:asciiTheme="majorBidi" w:hAnsiTheme="majorBidi" w:cstheme="majorBidi"/>
                <w:i/>
                <w:iCs/>
                <w:sz w:val="18"/>
                <w:szCs w:val="18"/>
              </w:rPr>
              <w:t>2</w:t>
            </w:r>
            <w:r w:rsidRPr="00E21143">
              <w:rPr>
                <w:rFonts w:asciiTheme="majorBidi" w:hAnsiTheme="majorBidi" w:cstheme="majorBidi"/>
                <w:i/>
                <w:iCs/>
                <w:sz w:val="18"/>
                <w:szCs w:val="18"/>
                <w:vertAlign w:val="superscript"/>
              </w:rPr>
              <w:t>nd</w:t>
            </w:r>
          </w:p>
        </w:tc>
        <w:tc>
          <w:tcPr>
            <w:tcW w:w="275" w:type="dxa"/>
          </w:tcPr>
          <w:p w14:paraId="51A443F4"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p>
        </w:tc>
        <w:tc>
          <w:tcPr>
            <w:tcW w:w="2617" w:type="dxa"/>
            <w:noWrap/>
            <w:hideMark/>
          </w:tcPr>
          <w:p w14:paraId="25CFC3CE"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r w:rsidRPr="00E21143">
              <w:rPr>
                <w:rFonts w:asciiTheme="majorBidi" w:hAnsiTheme="majorBidi" w:cstheme="majorBidi"/>
                <w:i/>
                <w:iCs/>
                <w:sz w:val="18"/>
                <w:szCs w:val="18"/>
              </w:rPr>
              <w:t xml:space="preserve"> QAR 5000 to QAR 10,000</w:t>
            </w:r>
          </w:p>
        </w:tc>
        <w:tc>
          <w:tcPr>
            <w:tcW w:w="1076" w:type="dxa"/>
            <w:noWrap/>
          </w:tcPr>
          <w:p w14:paraId="2E977959"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0.00</w:t>
            </w:r>
          </w:p>
        </w:tc>
        <w:tc>
          <w:tcPr>
            <w:tcW w:w="1260" w:type="dxa"/>
            <w:noWrap/>
          </w:tcPr>
          <w:p w14:paraId="04171810"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17.39</w:t>
            </w:r>
          </w:p>
        </w:tc>
        <w:tc>
          <w:tcPr>
            <w:tcW w:w="1433" w:type="dxa"/>
            <w:noWrap/>
          </w:tcPr>
          <w:p w14:paraId="0502D14B"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73.91</w:t>
            </w:r>
          </w:p>
        </w:tc>
        <w:tc>
          <w:tcPr>
            <w:tcW w:w="1185" w:type="dxa"/>
            <w:noWrap/>
          </w:tcPr>
          <w:p w14:paraId="5823D58E"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8.70</w:t>
            </w:r>
          </w:p>
        </w:tc>
        <w:tc>
          <w:tcPr>
            <w:tcW w:w="1070" w:type="dxa"/>
            <w:noWrap/>
          </w:tcPr>
          <w:p w14:paraId="71C481F9"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5.72</w:t>
            </w:r>
          </w:p>
        </w:tc>
      </w:tr>
      <w:tr w:rsidR="00D20CA8" w:rsidRPr="00E21143" w14:paraId="7E8E2A81" w14:textId="77777777" w:rsidTr="00A047C0">
        <w:trPr>
          <w:trHeight w:val="295"/>
        </w:trPr>
        <w:tc>
          <w:tcPr>
            <w:cnfStyle w:val="001000000000" w:firstRow="0" w:lastRow="0" w:firstColumn="1" w:lastColumn="0" w:oddVBand="0" w:evenVBand="0" w:oddHBand="0" w:evenHBand="0" w:firstRowFirstColumn="0" w:firstRowLastColumn="0" w:lastRowFirstColumn="0" w:lastRowLastColumn="0"/>
            <w:tcW w:w="527" w:type="dxa"/>
          </w:tcPr>
          <w:p w14:paraId="1815F21D" w14:textId="77777777" w:rsidR="00405C79" w:rsidRPr="00E21143" w:rsidRDefault="00405C79" w:rsidP="005C0E20">
            <w:pPr>
              <w:jc w:val="lowKashida"/>
              <w:rPr>
                <w:rFonts w:asciiTheme="majorBidi" w:hAnsiTheme="majorBidi" w:cstheme="majorBidi"/>
                <w:b w:val="0"/>
                <w:bCs w:val="0"/>
                <w:i/>
                <w:iCs/>
                <w:sz w:val="18"/>
                <w:szCs w:val="18"/>
              </w:rPr>
            </w:pPr>
            <w:r w:rsidRPr="00E21143">
              <w:rPr>
                <w:rFonts w:asciiTheme="majorBidi" w:hAnsiTheme="majorBidi" w:cstheme="majorBidi"/>
                <w:i/>
                <w:iCs/>
                <w:sz w:val="18"/>
                <w:szCs w:val="18"/>
              </w:rPr>
              <w:t>3</w:t>
            </w:r>
            <w:r w:rsidRPr="00E21143">
              <w:rPr>
                <w:rFonts w:asciiTheme="majorBidi" w:hAnsiTheme="majorBidi" w:cstheme="majorBidi"/>
                <w:i/>
                <w:iCs/>
                <w:sz w:val="18"/>
                <w:szCs w:val="18"/>
                <w:vertAlign w:val="superscript"/>
              </w:rPr>
              <w:t>rd</w:t>
            </w:r>
          </w:p>
        </w:tc>
        <w:tc>
          <w:tcPr>
            <w:tcW w:w="275" w:type="dxa"/>
          </w:tcPr>
          <w:p w14:paraId="1CF60E84"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p>
        </w:tc>
        <w:tc>
          <w:tcPr>
            <w:tcW w:w="2617" w:type="dxa"/>
            <w:noWrap/>
            <w:hideMark/>
          </w:tcPr>
          <w:p w14:paraId="26979879"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r w:rsidRPr="00E21143">
              <w:rPr>
                <w:rFonts w:asciiTheme="majorBidi" w:hAnsiTheme="majorBidi" w:cstheme="majorBidi"/>
                <w:i/>
                <w:iCs/>
                <w:sz w:val="18"/>
                <w:szCs w:val="18"/>
              </w:rPr>
              <w:t xml:space="preserve"> QAR 10,000 to QAR 15,000</w:t>
            </w:r>
          </w:p>
        </w:tc>
        <w:tc>
          <w:tcPr>
            <w:tcW w:w="1076" w:type="dxa"/>
            <w:noWrap/>
          </w:tcPr>
          <w:p w14:paraId="20C12E7A"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0.00</w:t>
            </w:r>
          </w:p>
        </w:tc>
        <w:tc>
          <w:tcPr>
            <w:tcW w:w="1260" w:type="dxa"/>
            <w:noWrap/>
          </w:tcPr>
          <w:p w14:paraId="2E20D3F7"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20.59</w:t>
            </w:r>
          </w:p>
        </w:tc>
        <w:tc>
          <w:tcPr>
            <w:tcW w:w="1433" w:type="dxa"/>
            <w:noWrap/>
          </w:tcPr>
          <w:p w14:paraId="3C7075CF"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70.59</w:t>
            </w:r>
          </w:p>
        </w:tc>
        <w:tc>
          <w:tcPr>
            <w:tcW w:w="1185" w:type="dxa"/>
            <w:noWrap/>
          </w:tcPr>
          <w:p w14:paraId="41646030"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8.82</w:t>
            </w:r>
          </w:p>
        </w:tc>
        <w:tc>
          <w:tcPr>
            <w:tcW w:w="1070" w:type="dxa"/>
            <w:noWrap/>
          </w:tcPr>
          <w:p w14:paraId="42CAF10C"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8.46</w:t>
            </w:r>
          </w:p>
        </w:tc>
      </w:tr>
      <w:tr w:rsidR="00D20CA8" w:rsidRPr="00E21143" w14:paraId="398C26A5" w14:textId="77777777" w:rsidTr="00A047C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527" w:type="dxa"/>
          </w:tcPr>
          <w:p w14:paraId="2F018C34" w14:textId="77777777" w:rsidR="00405C79" w:rsidRPr="00E21143" w:rsidRDefault="00405C79" w:rsidP="005C0E20">
            <w:pPr>
              <w:jc w:val="lowKashida"/>
              <w:rPr>
                <w:rFonts w:asciiTheme="majorBidi" w:hAnsiTheme="majorBidi" w:cstheme="majorBidi"/>
                <w:b w:val="0"/>
                <w:bCs w:val="0"/>
                <w:i/>
                <w:iCs/>
                <w:sz w:val="18"/>
                <w:szCs w:val="18"/>
              </w:rPr>
            </w:pPr>
            <w:r w:rsidRPr="00E21143">
              <w:rPr>
                <w:rFonts w:asciiTheme="majorBidi" w:hAnsiTheme="majorBidi" w:cstheme="majorBidi"/>
                <w:i/>
                <w:iCs/>
                <w:sz w:val="18"/>
                <w:szCs w:val="18"/>
              </w:rPr>
              <w:t>4</w:t>
            </w:r>
            <w:r w:rsidRPr="00E21143">
              <w:rPr>
                <w:rFonts w:asciiTheme="majorBidi" w:hAnsiTheme="majorBidi" w:cstheme="majorBidi"/>
                <w:i/>
                <w:iCs/>
                <w:sz w:val="18"/>
                <w:szCs w:val="18"/>
                <w:vertAlign w:val="superscript"/>
              </w:rPr>
              <w:t>th</w:t>
            </w:r>
          </w:p>
        </w:tc>
        <w:tc>
          <w:tcPr>
            <w:tcW w:w="275" w:type="dxa"/>
          </w:tcPr>
          <w:p w14:paraId="696C6BBF"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p>
        </w:tc>
        <w:tc>
          <w:tcPr>
            <w:tcW w:w="2617" w:type="dxa"/>
            <w:noWrap/>
            <w:hideMark/>
          </w:tcPr>
          <w:p w14:paraId="7F6E7BD0"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r w:rsidRPr="00E21143">
              <w:rPr>
                <w:rFonts w:asciiTheme="majorBidi" w:hAnsiTheme="majorBidi" w:cstheme="majorBidi"/>
                <w:i/>
                <w:iCs/>
                <w:sz w:val="18"/>
                <w:szCs w:val="18"/>
              </w:rPr>
              <w:t xml:space="preserve"> QAR 15,000 to QAR 20,000</w:t>
            </w:r>
          </w:p>
        </w:tc>
        <w:tc>
          <w:tcPr>
            <w:tcW w:w="1076" w:type="dxa"/>
            <w:noWrap/>
          </w:tcPr>
          <w:p w14:paraId="4C90DD50"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0.00</w:t>
            </w:r>
          </w:p>
        </w:tc>
        <w:tc>
          <w:tcPr>
            <w:tcW w:w="1260" w:type="dxa"/>
            <w:noWrap/>
          </w:tcPr>
          <w:p w14:paraId="6C871E8D"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26.67</w:t>
            </w:r>
          </w:p>
        </w:tc>
        <w:tc>
          <w:tcPr>
            <w:tcW w:w="1433" w:type="dxa"/>
            <w:noWrap/>
          </w:tcPr>
          <w:p w14:paraId="16ABF4EC"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68.89</w:t>
            </w:r>
          </w:p>
        </w:tc>
        <w:tc>
          <w:tcPr>
            <w:tcW w:w="1185" w:type="dxa"/>
            <w:noWrap/>
          </w:tcPr>
          <w:p w14:paraId="5DDFB236"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4.44</w:t>
            </w:r>
          </w:p>
        </w:tc>
        <w:tc>
          <w:tcPr>
            <w:tcW w:w="1070" w:type="dxa"/>
            <w:noWrap/>
          </w:tcPr>
          <w:p w14:paraId="69C4AF76"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11.19</w:t>
            </w:r>
          </w:p>
        </w:tc>
      </w:tr>
      <w:tr w:rsidR="00D20CA8" w:rsidRPr="00E21143" w14:paraId="30E2B148" w14:textId="77777777" w:rsidTr="00A047C0">
        <w:trPr>
          <w:trHeight w:val="295"/>
        </w:trPr>
        <w:tc>
          <w:tcPr>
            <w:cnfStyle w:val="001000000000" w:firstRow="0" w:lastRow="0" w:firstColumn="1" w:lastColumn="0" w:oddVBand="0" w:evenVBand="0" w:oddHBand="0" w:evenHBand="0" w:firstRowFirstColumn="0" w:firstRowLastColumn="0" w:lastRowFirstColumn="0" w:lastRowLastColumn="0"/>
            <w:tcW w:w="527" w:type="dxa"/>
          </w:tcPr>
          <w:p w14:paraId="50B36D8B" w14:textId="77777777" w:rsidR="00405C79" w:rsidRPr="00E21143" w:rsidRDefault="00405C79" w:rsidP="005C0E20">
            <w:pPr>
              <w:jc w:val="lowKashida"/>
              <w:rPr>
                <w:rFonts w:asciiTheme="majorBidi" w:hAnsiTheme="majorBidi" w:cstheme="majorBidi"/>
                <w:b w:val="0"/>
                <w:bCs w:val="0"/>
                <w:i/>
                <w:iCs/>
                <w:sz w:val="18"/>
                <w:szCs w:val="18"/>
              </w:rPr>
            </w:pPr>
            <w:r w:rsidRPr="00E21143">
              <w:rPr>
                <w:rFonts w:asciiTheme="majorBidi" w:hAnsiTheme="majorBidi" w:cstheme="majorBidi"/>
                <w:i/>
                <w:iCs/>
                <w:sz w:val="18"/>
                <w:szCs w:val="18"/>
              </w:rPr>
              <w:t>5</w:t>
            </w:r>
            <w:r w:rsidRPr="00E21143">
              <w:rPr>
                <w:rFonts w:asciiTheme="majorBidi" w:hAnsiTheme="majorBidi" w:cstheme="majorBidi"/>
                <w:i/>
                <w:iCs/>
                <w:sz w:val="18"/>
                <w:szCs w:val="18"/>
                <w:vertAlign w:val="superscript"/>
              </w:rPr>
              <w:t>th</w:t>
            </w:r>
          </w:p>
        </w:tc>
        <w:tc>
          <w:tcPr>
            <w:tcW w:w="275" w:type="dxa"/>
          </w:tcPr>
          <w:p w14:paraId="0E7E5307"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p>
        </w:tc>
        <w:tc>
          <w:tcPr>
            <w:tcW w:w="2617" w:type="dxa"/>
            <w:noWrap/>
            <w:hideMark/>
          </w:tcPr>
          <w:p w14:paraId="1F43EBBE"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r w:rsidRPr="00E21143">
              <w:rPr>
                <w:rFonts w:asciiTheme="majorBidi" w:hAnsiTheme="majorBidi" w:cstheme="majorBidi"/>
                <w:i/>
                <w:iCs/>
                <w:sz w:val="18"/>
                <w:szCs w:val="18"/>
              </w:rPr>
              <w:t xml:space="preserve"> QAR 20,000 to QAR 25,000</w:t>
            </w:r>
          </w:p>
        </w:tc>
        <w:tc>
          <w:tcPr>
            <w:tcW w:w="1076" w:type="dxa"/>
            <w:noWrap/>
          </w:tcPr>
          <w:p w14:paraId="0BB79458"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4.55</w:t>
            </w:r>
          </w:p>
        </w:tc>
        <w:tc>
          <w:tcPr>
            <w:tcW w:w="1260" w:type="dxa"/>
            <w:noWrap/>
          </w:tcPr>
          <w:p w14:paraId="1CC2AFEA"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36.36</w:t>
            </w:r>
          </w:p>
        </w:tc>
        <w:tc>
          <w:tcPr>
            <w:tcW w:w="1433" w:type="dxa"/>
            <w:noWrap/>
          </w:tcPr>
          <w:p w14:paraId="73E36378"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56.06</w:t>
            </w:r>
          </w:p>
        </w:tc>
        <w:tc>
          <w:tcPr>
            <w:tcW w:w="1185" w:type="dxa"/>
            <w:noWrap/>
          </w:tcPr>
          <w:p w14:paraId="756BED06"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3.03</w:t>
            </w:r>
          </w:p>
        </w:tc>
        <w:tc>
          <w:tcPr>
            <w:tcW w:w="1070" w:type="dxa"/>
            <w:noWrap/>
          </w:tcPr>
          <w:p w14:paraId="4870F7E4"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16.42</w:t>
            </w:r>
          </w:p>
        </w:tc>
      </w:tr>
      <w:tr w:rsidR="00D20CA8" w:rsidRPr="00E21143" w14:paraId="6003EF43" w14:textId="77777777" w:rsidTr="00A047C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527" w:type="dxa"/>
          </w:tcPr>
          <w:p w14:paraId="03B7EDA1" w14:textId="77777777" w:rsidR="00405C79" w:rsidRPr="00E21143" w:rsidRDefault="00405C79" w:rsidP="005C0E20">
            <w:pPr>
              <w:jc w:val="lowKashida"/>
              <w:rPr>
                <w:rFonts w:asciiTheme="majorBidi" w:hAnsiTheme="majorBidi" w:cstheme="majorBidi"/>
                <w:b w:val="0"/>
                <w:bCs w:val="0"/>
                <w:i/>
                <w:iCs/>
                <w:sz w:val="18"/>
                <w:szCs w:val="18"/>
              </w:rPr>
            </w:pPr>
            <w:r w:rsidRPr="00E21143">
              <w:rPr>
                <w:rFonts w:asciiTheme="majorBidi" w:hAnsiTheme="majorBidi" w:cstheme="majorBidi"/>
                <w:i/>
                <w:iCs/>
                <w:sz w:val="18"/>
                <w:szCs w:val="18"/>
              </w:rPr>
              <w:t>6</w:t>
            </w:r>
            <w:r w:rsidRPr="00E21143">
              <w:rPr>
                <w:rFonts w:asciiTheme="majorBidi" w:hAnsiTheme="majorBidi" w:cstheme="majorBidi"/>
                <w:i/>
                <w:iCs/>
                <w:sz w:val="18"/>
                <w:szCs w:val="18"/>
                <w:vertAlign w:val="superscript"/>
              </w:rPr>
              <w:t>th</w:t>
            </w:r>
          </w:p>
        </w:tc>
        <w:tc>
          <w:tcPr>
            <w:tcW w:w="275" w:type="dxa"/>
          </w:tcPr>
          <w:p w14:paraId="4223DE21"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p>
        </w:tc>
        <w:tc>
          <w:tcPr>
            <w:tcW w:w="2617" w:type="dxa"/>
            <w:noWrap/>
            <w:hideMark/>
          </w:tcPr>
          <w:p w14:paraId="750D6B02"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r w:rsidRPr="00E21143">
              <w:rPr>
                <w:rFonts w:asciiTheme="majorBidi" w:hAnsiTheme="majorBidi" w:cstheme="majorBidi"/>
                <w:i/>
                <w:iCs/>
                <w:sz w:val="18"/>
                <w:szCs w:val="18"/>
              </w:rPr>
              <w:t xml:space="preserve"> QAR 25,000 to QAR 30,000</w:t>
            </w:r>
          </w:p>
        </w:tc>
        <w:tc>
          <w:tcPr>
            <w:tcW w:w="1076" w:type="dxa"/>
            <w:noWrap/>
          </w:tcPr>
          <w:p w14:paraId="1ECF0F75"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13.79</w:t>
            </w:r>
          </w:p>
        </w:tc>
        <w:tc>
          <w:tcPr>
            <w:tcW w:w="1260" w:type="dxa"/>
            <w:noWrap/>
          </w:tcPr>
          <w:p w14:paraId="0890CC5B"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24.14</w:t>
            </w:r>
          </w:p>
        </w:tc>
        <w:tc>
          <w:tcPr>
            <w:tcW w:w="1433" w:type="dxa"/>
            <w:noWrap/>
          </w:tcPr>
          <w:p w14:paraId="35FC7229"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55.17</w:t>
            </w:r>
          </w:p>
        </w:tc>
        <w:tc>
          <w:tcPr>
            <w:tcW w:w="1185" w:type="dxa"/>
            <w:noWrap/>
          </w:tcPr>
          <w:p w14:paraId="30B46417"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6.90</w:t>
            </w:r>
          </w:p>
        </w:tc>
        <w:tc>
          <w:tcPr>
            <w:tcW w:w="1070" w:type="dxa"/>
            <w:noWrap/>
          </w:tcPr>
          <w:p w14:paraId="13708DFD"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7.21</w:t>
            </w:r>
          </w:p>
        </w:tc>
      </w:tr>
      <w:tr w:rsidR="00D20CA8" w:rsidRPr="00E21143" w14:paraId="6A6F9941" w14:textId="77777777" w:rsidTr="00A047C0">
        <w:trPr>
          <w:trHeight w:val="295"/>
        </w:trPr>
        <w:tc>
          <w:tcPr>
            <w:cnfStyle w:val="001000000000" w:firstRow="0" w:lastRow="0" w:firstColumn="1" w:lastColumn="0" w:oddVBand="0" w:evenVBand="0" w:oddHBand="0" w:evenHBand="0" w:firstRowFirstColumn="0" w:firstRowLastColumn="0" w:lastRowFirstColumn="0" w:lastRowLastColumn="0"/>
            <w:tcW w:w="527" w:type="dxa"/>
          </w:tcPr>
          <w:p w14:paraId="11FEBAB4" w14:textId="77777777" w:rsidR="00405C79" w:rsidRPr="00E21143" w:rsidRDefault="00405C79" w:rsidP="005C0E20">
            <w:pPr>
              <w:jc w:val="lowKashida"/>
              <w:rPr>
                <w:rFonts w:asciiTheme="majorBidi" w:hAnsiTheme="majorBidi" w:cstheme="majorBidi"/>
                <w:b w:val="0"/>
                <w:bCs w:val="0"/>
                <w:i/>
                <w:iCs/>
                <w:sz w:val="18"/>
                <w:szCs w:val="18"/>
              </w:rPr>
            </w:pPr>
            <w:r w:rsidRPr="00E21143">
              <w:rPr>
                <w:rFonts w:asciiTheme="majorBidi" w:hAnsiTheme="majorBidi" w:cstheme="majorBidi"/>
                <w:i/>
                <w:iCs/>
                <w:sz w:val="18"/>
                <w:szCs w:val="18"/>
              </w:rPr>
              <w:t>7th</w:t>
            </w:r>
          </w:p>
        </w:tc>
        <w:tc>
          <w:tcPr>
            <w:tcW w:w="275" w:type="dxa"/>
          </w:tcPr>
          <w:p w14:paraId="744D4B4D"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p>
        </w:tc>
        <w:tc>
          <w:tcPr>
            <w:tcW w:w="2617" w:type="dxa"/>
            <w:noWrap/>
            <w:hideMark/>
          </w:tcPr>
          <w:p w14:paraId="544EC6DA"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r w:rsidRPr="00E21143">
              <w:rPr>
                <w:rFonts w:asciiTheme="majorBidi" w:hAnsiTheme="majorBidi" w:cstheme="majorBidi"/>
                <w:i/>
                <w:iCs/>
                <w:sz w:val="18"/>
                <w:szCs w:val="18"/>
              </w:rPr>
              <w:t>More than QAR 30,000</w:t>
            </w:r>
          </w:p>
        </w:tc>
        <w:tc>
          <w:tcPr>
            <w:tcW w:w="1076" w:type="dxa"/>
            <w:noWrap/>
          </w:tcPr>
          <w:p w14:paraId="6D2F7907"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5.00</w:t>
            </w:r>
          </w:p>
        </w:tc>
        <w:tc>
          <w:tcPr>
            <w:tcW w:w="1260" w:type="dxa"/>
            <w:noWrap/>
          </w:tcPr>
          <w:p w14:paraId="5142E798"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30.00</w:t>
            </w:r>
          </w:p>
        </w:tc>
        <w:tc>
          <w:tcPr>
            <w:tcW w:w="1433" w:type="dxa"/>
            <w:noWrap/>
          </w:tcPr>
          <w:p w14:paraId="0EBB9B59"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52.50</w:t>
            </w:r>
          </w:p>
        </w:tc>
        <w:tc>
          <w:tcPr>
            <w:tcW w:w="1185" w:type="dxa"/>
            <w:noWrap/>
          </w:tcPr>
          <w:p w14:paraId="4E4352BD"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12.50</w:t>
            </w:r>
          </w:p>
        </w:tc>
        <w:tc>
          <w:tcPr>
            <w:tcW w:w="1070" w:type="dxa"/>
            <w:noWrap/>
          </w:tcPr>
          <w:p w14:paraId="07C9F95A"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9.95</w:t>
            </w:r>
          </w:p>
        </w:tc>
      </w:tr>
      <w:tr w:rsidR="00D20CA8" w:rsidRPr="00E21143" w14:paraId="397A5E7A" w14:textId="77777777" w:rsidTr="00A047C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527" w:type="dxa"/>
          </w:tcPr>
          <w:p w14:paraId="56574F38" w14:textId="77777777" w:rsidR="00405C79" w:rsidRPr="00E21143" w:rsidRDefault="00405C79" w:rsidP="005C0E20">
            <w:pPr>
              <w:jc w:val="lowKashida"/>
              <w:rPr>
                <w:rFonts w:asciiTheme="majorBidi" w:hAnsiTheme="majorBidi" w:cstheme="majorBidi"/>
                <w:b w:val="0"/>
                <w:bCs w:val="0"/>
                <w:sz w:val="18"/>
                <w:szCs w:val="18"/>
              </w:rPr>
            </w:pPr>
          </w:p>
        </w:tc>
        <w:tc>
          <w:tcPr>
            <w:tcW w:w="275" w:type="dxa"/>
          </w:tcPr>
          <w:p w14:paraId="6E86F3CE"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tcW w:w="2617" w:type="dxa"/>
            <w:noWrap/>
            <w:hideMark/>
          </w:tcPr>
          <w:p w14:paraId="4A440538"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Total</w:t>
            </w:r>
          </w:p>
        </w:tc>
        <w:tc>
          <w:tcPr>
            <w:tcW w:w="1076" w:type="dxa"/>
            <w:noWrap/>
          </w:tcPr>
          <w:p w14:paraId="2E891807"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3.98</w:t>
            </w:r>
          </w:p>
        </w:tc>
        <w:tc>
          <w:tcPr>
            <w:tcW w:w="1260" w:type="dxa"/>
            <w:noWrap/>
          </w:tcPr>
          <w:p w14:paraId="5C6B807C"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32.59</w:t>
            </w:r>
          </w:p>
        </w:tc>
        <w:tc>
          <w:tcPr>
            <w:tcW w:w="1433" w:type="dxa"/>
            <w:noWrap/>
          </w:tcPr>
          <w:p w14:paraId="232CFAE0"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57.46</w:t>
            </w:r>
          </w:p>
        </w:tc>
        <w:tc>
          <w:tcPr>
            <w:tcW w:w="1185" w:type="dxa"/>
            <w:noWrap/>
          </w:tcPr>
          <w:p w14:paraId="0FA13773"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5.97</w:t>
            </w:r>
          </w:p>
        </w:tc>
        <w:tc>
          <w:tcPr>
            <w:tcW w:w="1070" w:type="dxa"/>
            <w:noWrap/>
          </w:tcPr>
          <w:p w14:paraId="36D8E29C"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100.00</w:t>
            </w:r>
          </w:p>
        </w:tc>
      </w:tr>
    </w:tbl>
    <w:p w14:paraId="33EE423B" w14:textId="77777777" w:rsidR="00900A0E" w:rsidRPr="00D20CA8" w:rsidRDefault="00900A0E" w:rsidP="005C0E20">
      <w:pPr>
        <w:jc w:val="lowKashida"/>
        <w:rPr>
          <w:rFonts w:asciiTheme="majorBidi" w:hAnsiTheme="majorBidi" w:cstheme="majorBidi"/>
          <w:sz w:val="24"/>
          <w:szCs w:val="24"/>
        </w:rPr>
      </w:pPr>
    </w:p>
    <w:p w14:paraId="566F9218" w14:textId="7777777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Participants in the survey showed varying responses to using financial incentives for CE involvement. Approximately 55% were open to incentives, 33% were unaffected by them, 9% were unresponsive, and 3% were neutral (Table 14). Across income brackets, over 50% in each group, except the </w:t>
      </w:r>
      <w:proofErr w:type="gramStart"/>
      <w:r w:rsidRPr="00D20CA8">
        <w:rPr>
          <w:rFonts w:asciiTheme="majorBidi" w:hAnsiTheme="majorBidi" w:cstheme="majorBidi"/>
          <w:sz w:val="24"/>
          <w:szCs w:val="24"/>
        </w:rPr>
        <w:t>second-highest</w:t>
      </w:r>
      <w:proofErr w:type="gramEnd"/>
      <w:r w:rsidRPr="00D20CA8">
        <w:rPr>
          <w:rFonts w:asciiTheme="majorBidi" w:hAnsiTheme="majorBidi" w:cstheme="majorBidi"/>
          <w:sz w:val="24"/>
          <w:szCs w:val="24"/>
        </w:rPr>
        <w:t>, were willing to participate with incentives, emphasizing the importance of an incentive policy.</w:t>
      </w:r>
    </w:p>
    <w:p w14:paraId="0FC3B993" w14:textId="7777777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Table 14: Response to financial incentives</w:t>
      </w:r>
    </w:p>
    <w:p w14:paraId="6A6F00CC" w14:textId="77777777" w:rsidR="00405C79"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ab/>
      </w:r>
      <w:r w:rsidRPr="00D20CA8">
        <w:rPr>
          <w:rFonts w:asciiTheme="majorBidi" w:hAnsiTheme="majorBidi" w:cstheme="majorBidi"/>
          <w:sz w:val="24"/>
          <w:szCs w:val="24"/>
        </w:rPr>
        <w:tab/>
      </w:r>
    </w:p>
    <w:tbl>
      <w:tblPr>
        <w:tblStyle w:val="PlainTable4"/>
        <w:tblW w:w="9443" w:type="dxa"/>
        <w:tblInd w:w="5" w:type="dxa"/>
        <w:tblBorders>
          <w:top w:val="single" w:sz="4" w:space="0" w:color="auto"/>
          <w:bottom w:val="single" w:sz="4" w:space="0" w:color="auto"/>
        </w:tblBorders>
        <w:tblLook w:val="04A0" w:firstRow="1" w:lastRow="0" w:firstColumn="1" w:lastColumn="0" w:noHBand="0" w:noVBand="1"/>
      </w:tblPr>
      <w:tblGrid>
        <w:gridCol w:w="796"/>
        <w:gridCol w:w="395"/>
        <w:gridCol w:w="1346"/>
        <w:gridCol w:w="1105"/>
        <w:gridCol w:w="1105"/>
        <w:gridCol w:w="2084"/>
        <w:gridCol w:w="1346"/>
        <w:gridCol w:w="1266"/>
      </w:tblGrid>
      <w:tr w:rsidR="00D20CA8" w:rsidRPr="00E21143" w14:paraId="5E3BAD3D" w14:textId="77777777" w:rsidTr="00A047C0">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796" w:type="dxa"/>
            <w:tcBorders>
              <w:top w:val="single" w:sz="4" w:space="0" w:color="auto"/>
              <w:bottom w:val="single" w:sz="4" w:space="0" w:color="auto"/>
            </w:tcBorders>
          </w:tcPr>
          <w:p w14:paraId="3F7E90F7" w14:textId="77777777" w:rsidR="00405C79" w:rsidRPr="00E21143" w:rsidRDefault="00405C79" w:rsidP="005C0E20">
            <w:pPr>
              <w:jc w:val="lowKashida"/>
              <w:rPr>
                <w:rFonts w:asciiTheme="majorBidi" w:hAnsiTheme="majorBidi" w:cstheme="majorBidi"/>
                <w:b w:val="0"/>
                <w:bCs w:val="0"/>
                <w:sz w:val="18"/>
                <w:szCs w:val="18"/>
              </w:rPr>
            </w:pPr>
          </w:p>
        </w:tc>
        <w:tc>
          <w:tcPr>
            <w:tcW w:w="395" w:type="dxa"/>
            <w:tcBorders>
              <w:top w:val="single" w:sz="4" w:space="0" w:color="auto"/>
              <w:bottom w:val="single" w:sz="4" w:space="0" w:color="auto"/>
            </w:tcBorders>
          </w:tcPr>
          <w:p w14:paraId="758C1B0F" w14:textId="77777777" w:rsidR="00405C79" w:rsidRPr="00E21143" w:rsidRDefault="00405C79" w:rsidP="005C0E20">
            <w:pPr>
              <w:jc w:val="lowKashida"/>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Pr>
            </w:pPr>
          </w:p>
        </w:tc>
        <w:tc>
          <w:tcPr>
            <w:tcW w:w="1346" w:type="dxa"/>
            <w:tcBorders>
              <w:top w:val="single" w:sz="4" w:space="0" w:color="auto"/>
              <w:bottom w:val="single" w:sz="4" w:space="0" w:color="auto"/>
            </w:tcBorders>
            <w:noWrap/>
            <w:hideMark/>
          </w:tcPr>
          <w:p w14:paraId="1AF70BA8" w14:textId="77777777" w:rsidR="00405C79" w:rsidRPr="00E21143" w:rsidRDefault="00405C79" w:rsidP="005C0E20">
            <w:pPr>
              <w:jc w:val="lowKashida"/>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Pr>
            </w:pPr>
            <w:r w:rsidRPr="00E21143">
              <w:rPr>
                <w:rFonts w:asciiTheme="majorBidi" w:hAnsiTheme="majorBidi" w:cstheme="majorBidi"/>
                <w:sz w:val="18"/>
                <w:szCs w:val="18"/>
              </w:rPr>
              <w:t>Income Range</w:t>
            </w:r>
          </w:p>
        </w:tc>
        <w:tc>
          <w:tcPr>
            <w:tcW w:w="6906" w:type="dxa"/>
            <w:gridSpan w:val="5"/>
            <w:tcBorders>
              <w:top w:val="single" w:sz="4" w:space="0" w:color="auto"/>
              <w:bottom w:val="single" w:sz="4" w:space="0" w:color="auto"/>
            </w:tcBorders>
            <w:noWrap/>
            <w:hideMark/>
          </w:tcPr>
          <w:p w14:paraId="1286F397" w14:textId="77777777" w:rsidR="00405C79" w:rsidRPr="00E21143" w:rsidRDefault="00405C79" w:rsidP="005C0E20">
            <w:pPr>
              <w:jc w:val="lowKashida"/>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Pr>
            </w:pPr>
            <w:r w:rsidRPr="00E21143">
              <w:rPr>
                <w:rFonts w:asciiTheme="majorBidi" w:hAnsiTheme="majorBidi" w:cstheme="majorBidi"/>
                <w:i/>
                <w:iCs/>
                <w:sz w:val="18"/>
                <w:szCs w:val="18"/>
              </w:rPr>
              <w:t>Attitude toward financial incentives to participate in CE</w:t>
            </w:r>
          </w:p>
        </w:tc>
      </w:tr>
      <w:tr w:rsidR="00D20CA8" w:rsidRPr="00E21143" w14:paraId="2DEFC82B" w14:textId="77777777" w:rsidTr="00A047C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796" w:type="dxa"/>
            <w:tcBorders>
              <w:top w:val="single" w:sz="4" w:space="0" w:color="auto"/>
              <w:bottom w:val="nil"/>
            </w:tcBorders>
          </w:tcPr>
          <w:p w14:paraId="3271DEA5" w14:textId="77777777" w:rsidR="00405C79" w:rsidRPr="00E21143" w:rsidRDefault="00405C79" w:rsidP="005C0E20">
            <w:pPr>
              <w:jc w:val="lowKashida"/>
              <w:rPr>
                <w:rFonts w:asciiTheme="majorBidi" w:hAnsiTheme="majorBidi" w:cstheme="majorBidi"/>
                <w:b w:val="0"/>
                <w:bCs w:val="0"/>
                <w:i/>
                <w:iCs/>
                <w:sz w:val="18"/>
                <w:szCs w:val="18"/>
              </w:rPr>
            </w:pPr>
          </w:p>
        </w:tc>
        <w:tc>
          <w:tcPr>
            <w:tcW w:w="395" w:type="dxa"/>
            <w:tcBorders>
              <w:top w:val="single" w:sz="4" w:space="0" w:color="auto"/>
              <w:bottom w:val="nil"/>
            </w:tcBorders>
          </w:tcPr>
          <w:p w14:paraId="55771F7B"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p>
        </w:tc>
        <w:tc>
          <w:tcPr>
            <w:tcW w:w="1346" w:type="dxa"/>
            <w:tcBorders>
              <w:top w:val="single" w:sz="4" w:space="0" w:color="auto"/>
              <w:bottom w:val="nil"/>
            </w:tcBorders>
            <w:noWrap/>
          </w:tcPr>
          <w:p w14:paraId="55FF8CB8"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p>
        </w:tc>
        <w:tc>
          <w:tcPr>
            <w:tcW w:w="1105" w:type="dxa"/>
            <w:tcBorders>
              <w:top w:val="single" w:sz="4" w:space="0" w:color="auto"/>
              <w:bottom w:val="single" w:sz="4" w:space="0" w:color="auto"/>
            </w:tcBorders>
            <w:noWrap/>
          </w:tcPr>
          <w:p w14:paraId="47C66348"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yes</w:t>
            </w:r>
          </w:p>
        </w:tc>
        <w:tc>
          <w:tcPr>
            <w:tcW w:w="1105" w:type="dxa"/>
            <w:tcBorders>
              <w:top w:val="single" w:sz="4" w:space="0" w:color="auto"/>
              <w:bottom w:val="single" w:sz="4" w:space="0" w:color="auto"/>
            </w:tcBorders>
            <w:noWrap/>
          </w:tcPr>
          <w:p w14:paraId="20DBA556"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No</w:t>
            </w:r>
          </w:p>
        </w:tc>
        <w:tc>
          <w:tcPr>
            <w:tcW w:w="2084" w:type="dxa"/>
            <w:tcBorders>
              <w:top w:val="single" w:sz="4" w:space="0" w:color="auto"/>
              <w:bottom w:val="single" w:sz="4" w:space="0" w:color="auto"/>
            </w:tcBorders>
            <w:noWrap/>
          </w:tcPr>
          <w:p w14:paraId="2562A877"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Incentives will not affect my participation.</w:t>
            </w:r>
          </w:p>
          <w:p w14:paraId="54E59700"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tcW w:w="1346" w:type="dxa"/>
            <w:tcBorders>
              <w:top w:val="single" w:sz="4" w:space="0" w:color="auto"/>
              <w:bottom w:val="single" w:sz="4" w:space="0" w:color="auto"/>
            </w:tcBorders>
            <w:noWrap/>
          </w:tcPr>
          <w:p w14:paraId="06DEB691"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Neutral</w:t>
            </w:r>
          </w:p>
        </w:tc>
        <w:tc>
          <w:tcPr>
            <w:tcW w:w="1266" w:type="dxa"/>
            <w:tcBorders>
              <w:top w:val="single" w:sz="4" w:space="0" w:color="auto"/>
              <w:bottom w:val="single" w:sz="4" w:space="0" w:color="auto"/>
            </w:tcBorders>
            <w:noWrap/>
          </w:tcPr>
          <w:p w14:paraId="290E8ACE"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Total</w:t>
            </w:r>
          </w:p>
        </w:tc>
      </w:tr>
      <w:tr w:rsidR="00D20CA8" w:rsidRPr="00E21143" w14:paraId="592F89B9" w14:textId="77777777" w:rsidTr="00A047C0">
        <w:trPr>
          <w:trHeight w:val="295"/>
        </w:trPr>
        <w:tc>
          <w:tcPr>
            <w:cnfStyle w:val="001000000000" w:firstRow="0" w:lastRow="0" w:firstColumn="1" w:lastColumn="0" w:oddVBand="0" w:evenVBand="0" w:oddHBand="0" w:evenHBand="0" w:firstRowFirstColumn="0" w:firstRowLastColumn="0" w:lastRowFirstColumn="0" w:lastRowLastColumn="0"/>
            <w:tcW w:w="796" w:type="dxa"/>
            <w:tcBorders>
              <w:top w:val="nil"/>
              <w:bottom w:val="single" w:sz="4" w:space="0" w:color="auto"/>
            </w:tcBorders>
          </w:tcPr>
          <w:p w14:paraId="62DEF076" w14:textId="77777777" w:rsidR="00405C79" w:rsidRPr="00E21143" w:rsidRDefault="00405C79" w:rsidP="005C0E20">
            <w:pPr>
              <w:jc w:val="lowKashida"/>
              <w:rPr>
                <w:rFonts w:asciiTheme="majorBidi" w:hAnsiTheme="majorBidi" w:cstheme="majorBidi"/>
                <w:b w:val="0"/>
                <w:bCs w:val="0"/>
                <w:i/>
                <w:iCs/>
                <w:sz w:val="18"/>
                <w:szCs w:val="18"/>
              </w:rPr>
            </w:pPr>
          </w:p>
        </w:tc>
        <w:tc>
          <w:tcPr>
            <w:tcW w:w="395" w:type="dxa"/>
            <w:tcBorders>
              <w:top w:val="nil"/>
              <w:bottom w:val="single" w:sz="4" w:space="0" w:color="auto"/>
            </w:tcBorders>
          </w:tcPr>
          <w:p w14:paraId="1DBBCCB7"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p>
        </w:tc>
        <w:tc>
          <w:tcPr>
            <w:tcW w:w="1346" w:type="dxa"/>
            <w:tcBorders>
              <w:top w:val="nil"/>
              <w:bottom w:val="single" w:sz="4" w:space="0" w:color="auto"/>
            </w:tcBorders>
            <w:noWrap/>
          </w:tcPr>
          <w:p w14:paraId="48A946E5"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p>
        </w:tc>
        <w:tc>
          <w:tcPr>
            <w:tcW w:w="1105" w:type="dxa"/>
            <w:tcBorders>
              <w:top w:val="single" w:sz="4" w:space="0" w:color="auto"/>
              <w:bottom w:val="single" w:sz="4" w:space="0" w:color="auto"/>
            </w:tcBorders>
            <w:noWrap/>
          </w:tcPr>
          <w:p w14:paraId="2111A4CC"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w:t>
            </w:r>
          </w:p>
        </w:tc>
        <w:tc>
          <w:tcPr>
            <w:tcW w:w="1105" w:type="dxa"/>
            <w:tcBorders>
              <w:top w:val="single" w:sz="4" w:space="0" w:color="auto"/>
              <w:bottom w:val="single" w:sz="4" w:space="0" w:color="auto"/>
            </w:tcBorders>
            <w:noWrap/>
          </w:tcPr>
          <w:p w14:paraId="3CEBE546"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w:t>
            </w:r>
          </w:p>
        </w:tc>
        <w:tc>
          <w:tcPr>
            <w:tcW w:w="2084" w:type="dxa"/>
            <w:tcBorders>
              <w:top w:val="single" w:sz="4" w:space="0" w:color="auto"/>
              <w:bottom w:val="single" w:sz="4" w:space="0" w:color="auto"/>
            </w:tcBorders>
            <w:noWrap/>
          </w:tcPr>
          <w:p w14:paraId="40C78CFD"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w:t>
            </w:r>
          </w:p>
        </w:tc>
        <w:tc>
          <w:tcPr>
            <w:tcW w:w="1346" w:type="dxa"/>
            <w:tcBorders>
              <w:top w:val="single" w:sz="4" w:space="0" w:color="auto"/>
              <w:bottom w:val="single" w:sz="4" w:space="0" w:color="auto"/>
            </w:tcBorders>
            <w:noWrap/>
          </w:tcPr>
          <w:p w14:paraId="4278A897"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w:t>
            </w:r>
          </w:p>
        </w:tc>
        <w:tc>
          <w:tcPr>
            <w:tcW w:w="1266" w:type="dxa"/>
            <w:tcBorders>
              <w:top w:val="single" w:sz="4" w:space="0" w:color="auto"/>
              <w:bottom w:val="single" w:sz="4" w:space="0" w:color="auto"/>
            </w:tcBorders>
            <w:noWrap/>
          </w:tcPr>
          <w:p w14:paraId="29E88B2A"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w:t>
            </w:r>
          </w:p>
        </w:tc>
      </w:tr>
      <w:tr w:rsidR="00D20CA8" w:rsidRPr="00E21143" w14:paraId="666A2589" w14:textId="77777777" w:rsidTr="00A047C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796" w:type="dxa"/>
            <w:tcBorders>
              <w:top w:val="single" w:sz="4" w:space="0" w:color="auto"/>
            </w:tcBorders>
          </w:tcPr>
          <w:p w14:paraId="0FC35248" w14:textId="77777777" w:rsidR="00405C79" w:rsidRPr="00E21143" w:rsidRDefault="00405C79" w:rsidP="005C0E20">
            <w:pPr>
              <w:jc w:val="lowKashida"/>
              <w:rPr>
                <w:rFonts w:asciiTheme="majorBidi" w:hAnsiTheme="majorBidi" w:cstheme="majorBidi"/>
                <w:b w:val="0"/>
                <w:bCs w:val="0"/>
                <w:i/>
                <w:iCs/>
                <w:sz w:val="18"/>
                <w:szCs w:val="18"/>
              </w:rPr>
            </w:pPr>
            <w:r w:rsidRPr="00E21143">
              <w:rPr>
                <w:rFonts w:asciiTheme="majorBidi" w:hAnsiTheme="majorBidi" w:cstheme="majorBidi"/>
                <w:i/>
                <w:iCs/>
                <w:sz w:val="18"/>
                <w:szCs w:val="18"/>
              </w:rPr>
              <w:t>-</w:t>
            </w:r>
          </w:p>
        </w:tc>
        <w:tc>
          <w:tcPr>
            <w:tcW w:w="395" w:type="dxa"/>
            <w:tcBorders>
              <w:top w:val="single" w:sz="4" w:space="0" w:color="auto"/>
            </w:tcBorders>
          </w:tcPr>
          <w:p w14:paraId="53383FFD"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p>
        </w:tc>
        <w:tc>
          <w:tcPr>
            <w:tcW w:w="1346" w:type="dxa"/>
            <w:tcBorders>
              <w:top w:val="single" w:sz="4" w:space="0" w:color="auto"/>
            </w:tcBorders>
            <w:noWrap/>
          </w:tcPr>
          <w:p w14:paraId="2FFBB0B7"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r w:rsidRPr="00E21143">
              <w:rPr>
                <w:rFonts w:asciiTheme="majorBidi" w:hAnsiTheme="majorBidi" w:cstheme="majorBidi"/>
                <w:i/>
                <w:iCs/>
                <w:sz w:val="18"/>
                <w:szCs w:val="18"/>
              </w:rPr>
              <w:t>Prefer not to disclose</w:t>
            </w:r>
          </w:p>
        </w:tc>
        <w:tc>
          <w:tcPr>
            <w:tcW w:w="1105" w:type="dxa"/>
            <w:tcBorders>
              <w:top w:val="single" w:sz="4" w:space="0" w:color="auto"/>
            </w:tcBorders>
            <w:noWrap/>
          </w:tcPr>
          <w:p w14:paraId="65B73438"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57.81</w:t>
            </w:r>
          </w:p>
        </w:tc>
        <w:tc>
          <w:tcPr>
            <w:tcW w:w="1105" w:type="dxa"/>
            <w:tcBorders>
              <w:top w:val="single" w:sz="4" w:space="0" w:color="auto"/>
            </w:tcBorders>
            <w:noWrap/>
          </w:tcPr>
          <w:p w14:paraId="405B3D15"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8.59</w:t>
            </w:r>
          </w:p>
        </w:tc>
        <w:tc>
          <w:tcPr>
            <w:tcW w:w="2084" w:type="dxa"/>
            <w:tcBorders>
              <w:top w:val="single" w:sz="4" w:space="0" w:color="auto"/>
            </w:tcBorders>
            <w:noWrap/>
          </w:tcPr>
          <w:p w14:paraId="07432852"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31.25</w:t>
            </w:r>
          </w:p>
        </w:tc>
        <w:tc>
          <w:tcPr>
            <w:tcW w:w="1346" w:type="dxa"/>
            <w:tcBorders>
              <w:top w:val="single" w:sz="4" w:space="0" w:color="auto"/>
            </w:tcBorders>
            <w:noWrap/>
          </w:tcPr>
          <w:p w14:paraId="366E9586"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2.34</w:t>
            </w:r>
          </w:p>
        </w:tc>
        <w:tc>
          <w:tcPr>
            <w:tcW w:w="1266" w:type="dxa"/>
            <w:tcBorders>
              <w:top w:val="single" w:sz="4" w:space="0" w:color="auto"/>
            </w:tcBorders>
            <w:noWrap/>
          </w:tcPr>
          <w:p w14:paraId="4B6B1750"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31.84</w:t>
            </w:r>
          </w:p>
        </w:tc>
      </w:tr>
      <w:tr w:rsidR="00D20CA8" w:rsidRPr="00E21143" w14:paraId="221C1007" w14:textId="77777777" w:rsidTr="00A047C0">
        <w:trPr>
          <w:trHeight w:val="295"/>
        </w:trPr>
        <w:tc>
          <w:tcPr>
            <w:cnfStyle w:val="001000000000" w:firstRow="0" w:lastRow="0" w:firstColumn="1" w:lastColumn="0" w:oddVBand="0" w:evenVBand="0" w:oddHBand="0" w:evenHBand="0" w:firstRowFirstColumn="0" w:firstRowLastColumn="0" w:lastRowFirstColumn="0" w:lastRowLastColumn="0"/>
            <w:tcW w:w="796" w:type="dxa"/>
          </w:tcPr>
          <w:p w14:paraId="112EF1EF" w14:textId="77777777" w:rsidR="00405C79" w:rsidRPr="00E21143" w:rsidRDefault="00405C79" w:rsidP="005C0E20">
            <w:pPr>
              <w:jc w:val="lowKashida"/>
              <w:rPr>
                <w:rFonts w:asciiTheme="majorBidi" w:hAnsiTheme="majorBidi" w:cstheme="majorBidi"/>
                <w:b w:val="0"/>
                <w:bCs w:val="0"/>
                <w:i/>
                <w:iCs/>
                <w:sz w:val="18"/>
                <w:szCs w:val="18"/>
              </w:rPr>
            </w:pPr>
            <w:r w:rsidRPr="00E21143">
              <w:rPr>
                <w:rFonts w:asciiTheme="majorBidi" w:hAnsiTheme="majorBidi" w:cstheme="majorBidi"/>
                <w:i/>
                <w:iCs/>
                <w:sz w:val="18"/>
                <w:szCs w:val="18"/>
              </w:rPr>
              <w:t>1</w:t>
            </w:r>
            <w:r w:rsidRPr="00E21143">
              <w:rPr>
                <w:rFonts w:asciiTheme="majorBidi" w:hAnsiTheme="majorBidi" w:cstheme="majorBidi"/>
                <w:i/>
                <w:iCs/>
                <w:sz w:val="18"/>
                <w:szCs w:val="18"/>
                <w:vertAlign w:val="superscript"/>
              </w:rPr>
              <w:t>st</w:t>
            </w:r>
          </w:p>
        </w:tc>
        <w:tc>
          <w:tcPr>
            <w:tcW w:w="395" w:type="dxa"/>
          </w:tcPr>
          <w:p w14:paraId="51040649"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p>
        </w:tc>
        <w:tc>
          <w:tcPr>
            <w:tcW w:w="1346" w:type="dxa"/>
            <w:noWrap/>
            <w:hideMark/>
          </w:tcPr>
          <w:p w14:paraId="2271FBA8"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r w:rsidRPr="00E21143">
              <w:rPr>
                <w:rFonts w:asciiTheme="majorBidi" w:hAnsiTheme="majorBidi" w:cstheme="majorBidi"/>
                <w:i/>
                <w:iCs/>
                <w:sz w:val="18"/>
                <w:szCs w:val="18"/>
              </w:rPr>
              <w:t>Less than QAR 5000 </w:t>
            </w:r>
          </w:p>
        </w:tc>
        <w:tc>
          <w:tcPr>
            <w:tcW w:w="1105" w:type="dxa"/>
            <w:noWrap/>
          </w:tcPr>
          <w:p w14:paraId="09D02D68"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59.46</w:t>
            </w:r>
          </w:p>
        </w:tc>
        <w:tc>
          <w:tcPr>
            <w:tcW w:w="1105" w:type="dxa"/>
            <w:noWrap/>
          </w:tcPr>
          <w:p w14:paraId="126AAC4D"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8.11</w:t>
            </w:r>
          </w:p>
        </w:tc>
        <w:tc>
          <w:tcPr>
            <w:tcW w:w="2084" w:type="dxa"/>
            <w:noWrap/>
          </w:tcPr>
          <w:p w14:paraId="2160BE52"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24.32</w:t>
            </w:r>
          </w:p>
        </w:tc>
        <w:tc>
          <w:tcPr>
            <w:tcW w:w="1346" w:type="dxa"/>
            <w:noWrap/>
          </w:tcPr>
          <w:p w14:paraId="17721A0C"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8.11</w:t>
            </w:r>
          </w:p>
        </w:tc>
        <w:tc>
          <w:tcPr>
            <w:tcW w:w="1266" w:type="dxa"/>
            <w:noWrap/>
          </w:tcPr>
          <w:p w14:paraId="0F5DF210"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9.20</w:t>
            </w:r>
          </w:p>
        </w:tc>
      </w:tr>
      <w:tr w:rsidR="00D20CA8" w:rsidRPr="00E21143" w14:paraId="6E302E70" w14:textId="77777777" w:rsidTr="00A047C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796" w:type="dxa"/>
          </w:tcPr>
          <w:p w14:paraId="299FA992" w14:textId="77777777" w:rsidR="00405C79" w:rsidRPr="00E21143" w:rsidRDefault="00405C79" w:rsidP="005C0E20">
            <w:pPr>
              <w:jc w:val="lowKashida"/>
              <w:rPr>
                <w:rFonts w:asciiTheme="majorBidi" w:hAnsiTheme="majorBidi" w:cstheme="majorBidi"/>
                <w:b w:val="0"/>
                <w:bCs w:val="0"/>
                <w:i/>
                <w:iCs/>
                <w:sz w:val="18"/>
                <w:szCs w:val="18"/>
              </w:rPr>
            </w:pPr>
            <w:r w:rsidRPr="00E21143">
              <w:rPr>
                <w:rFonts w:asciiTheme="majorBidi" w:hAnsiTheme="majorBidi" w:cstheme="majorBidi"/>
                <w:i/>
                <w:iCs/>
                <w:sz w:val="18"/>
                <w:szCs w:val="18"/>
              </w:rPr>
              <w:t>2</w:t>
            </w:r>
            <w:r w:rsidRPr="00E21143">
              <w:rPr>
                <w:rFonts w:asciiTheme="majorBidi" w:hAnsiTheme="majorBidi" w:cstheme="majorBidi"/>
                <w:i/>
                <w:iCs/>
                <w:sz w:val="18"/>
                <w:szCs w:val="18"/>
                <w:vertAlign w:val="superscript"/>
              </w:rPr>
              <w:t>nd</w:t>
            </w:r>
          </w:p>
        </w:tc>
        <w:tc>
          <w:tcPr>
            <w:tcW w:w="395" w:type="dxa"/>
          </w:tcPr>
          <w:p w14:paraId="6D391563"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p>
        </w:tc>
        <w:tc>
          <w:tcPr>
            <w:tcW w:w="1346" w:type="dxa"/>
            <w:noWrap/>
            <w:hideMark/>
          </w:tcPr>
          <w:p w14:paraId="41F65E84"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r w:rsidRPr="00E21143">
              <w:rPr>
                <w:rFonts w:asciiTheme="majorBidi" w:hAnsiTheme="majorBidi" w:cstheme="majorBidi"/>
                <w:i/>
                <w:iCs/>
                <w:sz w:val="18"/>
                <w:szCs w:val="18"/>
              </w:rPr>
              <w:t xml:space="preserve"> QAR 5000 to QAR 10,000</w:t>
            </w:r>
          </w:p>
        </w:tc>
        <w:tc>
          <w:tcPr>
            <w:tcW w:w="1105" w:type="dxa"/>
            <w:noWrap/>
          </w:tcPr>
          <w:p w14:paraId="2394C8FE"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60.87</w:t>
            </w:r>
          </w:p>
        </w:tc>
        <w:tc>
          <w:tcPr>
            <w:tcW w:w="1105" w:type="dxa"/>
            <w:noWrap/>
          </w:tcPr>
          <w:p w14:paraId="1DEF865A"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8.70</w:t>
            </w:r>
          </w:p>
        </w:tc>
        <w:tc>
          <w:tcPr>
            <w:tcW w:w="2084" w:type="dxa"/>
            <w:noWrap/>
          </w:tcPr>
          <w:p w14:paraId="0901E884"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17.39</w:t>
            </w:r>
          </w:p>
        </w:tc>
        <w:tc>
          <w:tcPr>
            <w:tcW w:w="1346" w:type="dxa"/>
            <w:noWrap/>
          </w:tcPr>
          <w:p w14:paraId="2941BDD0"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13.04</w:t>
            </w:r>
          </w:p>
        </w:tc>
        <w:tc>
          <w:tcPr>
            <w:tcW w:w="1266" w:type="dxa"/>
            <w:noWrap/>
          </w:tcPr>
          <w:p w14:paraId="5A1B8E55"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5.72</w:t>
            </w:r>
          </w:p>
        </w:tc>
      </w:tr>
      <w:tr w:rsidR="00D20CA8" w:rsidRPr="00E21143" w14:paraId="07E87661" w14:textId="77777777" w:rsidTr="00A047C0">
        <w:trPr>
          <w:trHeight w:val="295"/>
        </w:trPr>
        <w:tc>
          <w:tcPr>
            <w:cnfStyle w:val="001000000000" w:firstRow="0" w:lastRow="0" w:firstColumn="1" w:lastColumn="0" w:oddVBand="0" w:evenVBand="0" w:oddHBand="0" w:evenHBand="0" w:firstRowFirstColumn="0" w:firstRowLastColumn="0" w:lastRowFirstColumn="0" w:lastRowLastColumn="0"/>
            <w:tcW w:w="796" w:type="dxa"/>
          </w:tcPr>
          <w:p w14:paraId="49727D8A" w14:textId="77777777" w:rsidR="00405C79" w:rsidRPr="00E21143" w:rsidRDefault="00405C79" w:rsidP="005C0E20">
            <w:pPr>
              <w:jc w:val="lowKashida"/>
              <w:rPr>
                <w:rFonts w:asciiTheme="majorBidi" w:hAnsiTheme="majorBidi" w:cstheme="majorBidi"/>
                <w:b w:val="0"/>
                <w:bCs w:val="0"/>
                <w:i/>
                <w:iCs/>
                <w:sz w:val="18"/>
                <w:szCs w:val="18"/>
              </w:rPr>
            </w:pPr>
            <w:r w:rsidRPr="00E21143">
              <w:rPr>
                <w:rFonts w:asciiTheme="majorBidi" w:hAnsiTheme="majorBidi" w:cstheme="majorBidi"/>
                <w:i/>
                <w:iCs/>
                <w:sz w:val="18"/>
                <w:szCs w:val="18"/>
              </w:rPr>
              <w:t>3</w:t>
            </w:r>
            <w:r w:rsidRPr="00E21143">
              <w:rPr>
                <w:rFonts w:asciiTheme="majorBidi" w:hAnsiTheme="majorBidi" w:cstheme="majorBidi"/>
                <w:i/>
                <w:iCs/>
                <w:sz w:val="18"/>
                <w:szCs w:val="18"/>
                <w:vertAlign w:val="superscript"/>
              </w:rPr>
              <w:t>rd</w:t>
            </w:r>
          </w:p>
        </w:tc>
        <w:tc>
          <w:tcPr>
            <w:tcW w:w="395" w:type="dxa"/>
          </w:tcPr>
          <w:p w14:paraId="484704E7"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p>
        </w:tc>
        <w:tc>
          <w:tcPr>
            <w:tcW w:w="1346" w:type="dxa"/>
            <w:noWrap/>
            <w:hideMark/>
          </w:tcPr>
          <w:p w14:paraId="6793EFBA"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r w:rsidRPr="00E21143">
              <w:rPr>
                <w:rFonts w:asciiTheme="majorBidi" w:hAnsiTheme="majorBidi" w:cstheme="majorBidi"/>
                <w:i/>
                <w:iCs/>
                <w:sz w:val="18"/>
                <w:szCs w:val="18"/>
              </w:rPr>
              <w:t xml:space="preserve"> QAR 10,000 to QAR 15,000</w:t>
            </w:r>
          </w:p>
        </w:tc>
        <w:tc>
          <w:tcPr>
            <w:tcW w:w="1105" w:type="dxa"/>
            <w:noWrap/>
          </w:tcPr>
          <w:p w14:paraId="31609C4C"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61.76</w:t>
            </w:r>
          </w:p>
        </w:tc>
        <w:tc>
          <w:tcPr>
            <w:tcW w:w="1105" w:type="dxa"/>
            <w:noWrap/>
          </w:tcPr>
          <w:p w14:paraId="6258CE66"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8.82</w:t>
            </w:r>
          </w:p>
        </w:tc>
        <w:tc>
          <w:tcPr>
            <w:tcW w:w="2084" w:type="dxa"/>
            <w:noWrap/>
          </w:tcPr>
          <w:p w14:paraId="03F30124"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23.53</w:t>
            </w:r>
          </w:p>
        </w:tc>
        <w:tc>
          <w:tcPr>
            <w:tcW w:w="1346" w:type="dxa"/>
            <w:noWrap/>
          </w:tcPr>
          <w:p w14:paraId="1C7F6CA4"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5.88</w:t>
            </w:r>
          </w:p>
        </w:tc>
        <w:tc>
          <w:tcPr>
            <w:tcW w:w="1266" w:type="dxa"/>
            <w:noWrap/>
          </w:tcPr>
          <w:p w14:paraId="5F7789A5"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8.46</w:t>
            </w:r>
          </w:p>
        </w:tc>
      </w:tr>
      <w:tr w:rsidR="00D20CA8" w:rsidRPr="00E21143" w14:paraId="4204EE45" w14:textId="77777777" w:rsidTr="00A047C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796" w:type="dxa"/>
          </w:tcPr>
          <w:p w14:paraId="7C122F3E" w14:textId="77777777" w:rsidR="00405C79" w:rsidRPr="00E21143" w:rsidRDefault="00405C79" w:rsidP="005C0E20">
            <w:pPr>
              <w:jc w:val="lowKashida"/>
              <w:rPr>
                <w:rFonts w:asciiTheme="majorBidi" w:hAnsiTheme="majorBidi" w:cstheme="majorBidi"/>
                <w:b w:val="0"/>
                <w:bCs w:val="0"/>
                <w:i/>
                <w:iCs/>
                <w:sz w:val="18"/>
                <w:szCs w:val="18"/>
              </w:rPr>
            </w:pPr>
            <w:r w:rsidRPr="00E21143">
              <w:rPr>
                <w:rFonts w:asciiTheme="majorBidi" w:hAnsiTheme="majorBidi" w:cstheme="majorBidi"/>
                <w:i/>
                <w:iCs/>
                <w:sz w:val="18"/>
                <w:szCs w:val="18"/>
              </w:rPr>
              <w:t>4</w:t>
            </w:r>
            <w:r w:rsidRPr="00E21143">
              <w:rPr>
                <w:rFonts w:asciiTheme="majorBidi" w:hAnsiTheme="majorBidi" w:cstheme="majorBidi"/>
                <w:i/>
                <w:iCs/>
                <w:sz w:val="18"/>
                <w:szCs w:val="18"/>
                <w:vertAlign w:val="superscript"/>
              </w:rPr>
              <w:t>th</w:t>
            </w:r>
          </w:p>
        </w:tc>
        <w:tc>
          <w:tcPr>
            <w:tcW w:w="395" w:type="dxa"/>
          </w:tcPr>
          <w:p w14:paraId="60AB4CB7"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p>
        </w:tc>
        <w:tc>
          <w:tcPr>
            <w:tcW w:w="1346" w:type="dxa"/>
            <w:noWrap/>
            <w:hideMark/>
          </w:tcPr>
          <w:p w14:paraId="26AAF79A"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r w:rsidRPr="00E21143">
              <w:rPr>
                <w:rFonts w:asciiTheme="majorBidi" w:hAnsiTheme="majorBidi" w:cstheme="majorBidi"/>
                <w:i/>
                <w:iCs/>
                <w:sz w:val="18"/>
                <w:szCs w:val="18"/>
              </w:rPr>
              <w:t xml:space="preserve"> QAR 15,000 to QAR 20,000</w:t>
            </w:r>
          </w:p>
        </w:tc>
        <w:tc>
          <w:tcPr>
            <w:tcW w:w="1105" w:type="dxa"/>
            <w:noWrap/>
          </w:tcPr>
          <w:p w14:paraId="07E990BC"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51.11</w:t>
            </w:r>
          </w:p>
        </w:tc>
        <w:tc>
          <w:tcPr>
            <w:tcW w:w="1105" w:type="dxa"/>
            <w:noWrap/>
          </w:tcPr>
          <w:p w14:paraId="26624235"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6.67</w:t>
            </w:r>
          </w:p>
        </w:tc>
        <w:tc>
          <w:tcPr>
            <w:tcW w:w="2084" w:type="dxa"/>
            <w:noWrap/>
          </w:tcPr>
          <w:p w14:paraId="2292B0CA"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37.78</w:t>
            </w:r>
          </w:p>
        </w:tc>
        <w:tc>
          <w:tcPr>
            <w:tcW w:w="1346" w:type="dxa"/>
            <w:noWrap/>
          </w:tcPr>
          <w:p w14:paraId="7094FE6F"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4.44</w:t>
            </w:r>
          </w:p>
        </w:tc>
        <w:tc>
          <w:tcPr>
            <w:tcW w:w="1266" w:type="dxa"/>
            <w:noWrap/>
          </w:tcPr>
          <w:p w14:paraId="1EF1EC5A"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11.19</w:t>
            </w:r>
          </w:p>
        </w:tc>
      </w:tr>
      <w:tr w:rsidR="00D20CA8" w:rsidRPr="00E21143" w14:paraId="5C46C3E0" w14:textId="77777777" w:rsidTr="00A047C0">
        <w:trPr>
          <w:trHeight w:val="295"/>
        </w:trPr>
        <w:tc>
          <w:tcPr>
            <w:cnfStyle w:val="001000000000" w:firstRow="0" w:lastRow="0" w:firstColumn="1" w:lastColumn="0" w:oddVBand="0" w:evenVBand="0" w:oddHBand="0" w:evenHBand="0" w:firstRowFirstColumn="0" w:firstRowLastColumn="0" w:lastRowFirstColumn="0" w:lastRowLastColumn="0"/>
            <w:tcW w:w="796" w:type="dxa"/>
          </w:tcPr>
          <w:p w14:paraId="5235A209" w14:textId="77777777" w:rsidR="00405C79" w:rsidRPr="00E21143" w:rsidRDefault="00405C79" w:rsidP="005C0E20">
            <w:pPr>
              <w:jc w:val="lowKashida"/>
              <w:rPr>
                <w:rFonts w:asciiTheme="majorBidi" w:hAnsiTheme="majorBidi" w:cstheme="majorBidi"/>
                <w:b w:val="0"/>
                <w:bCs w:val="0"/>
                <w:i/>
                <w:iCs/>
                <w:sz w:val="18"/>
                <w:szCs w:val="18"/>
              </w:rPr>
            </w:pPr>
            <w:r w:rsidRPr="00E21143">
              <w:rPr>
                <w:rFonts w:asciiTheme="majorBidi" w:hAnsiTheme="majorBidi" w:cstheme="majorBidi"/>
                <w:i/>
                <w:iCs/>
                <w:sz w:val="18"/>
                <w:szCs w:val="18"/>
              </w:rPr>
              <w:t>5</w:t>
            </w:r>
            <w:r w:rsidRPr="00E21143">
              <w:rPr>
                <w:rFonts w:asciiTheme="majorBidi" w:hAnsiTheme="majorBidi" w:cstheme="majorBidi"/>
                <w:i/>
                <w:iCs/>
                <w:sz w:val="18"/>
                <w:szCs w:val="18"/>
                <w:vertAlign w:val="superscript"/>
              </w:rPr>
              <w:t>th</w:t>
            </w:r>
          </w:p>
        </w:tc>
        <w:tc>
          <w:tcPr>
            <w:tcW w:w="395" w:type="dxa"/>
          </w:tcPr>
          <w:p w14:paraId="6E960C5B"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p>
        </w:tc>
        <w:tc>
          <w:tcPr>
            <w:tcW w:w="1346" w:type="dxa"/>
            <w:noWrap/>
            <w:hideMark/>
          </w:tcPr>
          <w:p w14:paraId="0D64FE24"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r w:rsidRPr="00E21143">
              <w:rPr>
                <w:rFonts w:asciiTheme="majorBidi" w:hAnsiTheme="majorBidi" w:cstheme="majorBidi"/>
                <w:i/>
                <w:iCs/>
                <w:sz w:val="18"/>
                <w:szCs w:val="18"/>
              </w:rPr>
              <w:t xml:space="preserve"> QAR 20,000 to QAR 25,000</w:t>
            </w:r>
          </w:p>
        </w:tc>
        <w:tc>
          <w:tcPr>
            <w:tcW w:w="1105" w:type="dxa"/>
            <w:noWrap/>
          </w:tcPr>
          <w:p w14:paraId="767660F3"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51.52</w:t>
            </w:r>
          </w:p>
        </w:tc>
        <w:tc>
          <w:tcPr>
            <w:tcW w:w="1105" w:type="dxa"/>
            <w:noWrap/>
          </w:tcPr>
          <w:p w14:paraId="36723B1F"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7.58</w:t>
            </w:r>
          </w:p>
        </w:tc>
        <w:tc>
          <w:tcPr>
            <w:tcW w:w="2084" w:type="dxa"/>
            <w:noWrap/>
          </w:tcPr>
          <w:p w14:paraId="5752DD04"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40.91</w:t>
            </w:r>
          </w:p>
        </w:tc>
        <w:tc>
          <w:tcPr>
            <w:tcW w:w="1346" w:type="dxa"/>
            <w:noWrap/>
          </w:tcPr>
          <w:p w14:paraId="20F5CA9B"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0.00</w:t>
            </w:r>
          </w:p>
        </w:tc>
        <w:tc>
          <w:tcPr>
            <w:tcW w:w="1266" w:type="dxa"/>
            <w:noWrap/>
          </w:tcPr>
          <w:p w14:paraId="106A6238"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16.42</w:t>
            </w:r>
          </w:p>
        </w:tc>
      </w:tr>
      <w:tr w:rsidR="00D20CA8" w:rsidRPr="00E21143" w14:paraId="3EF5A711" w14:textId="77777777" w:rsidTr="00A047C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796" w:type="dxa"/>
          </w:tcPr>
          <w:p w14:paraId="21D557CC" w14:textId="77777777" w:rsidR="00405C79" w:rsidRPr="00E21143" w:rsidRDefault="00405C79" w:rsidP="005C0E20">
            <w:pPr>
              <w:jc w:val="lowKashida"/>
              <w:rPr>
                <w:rFonts w:asciiTheme="majorBidi" w:hAnsiTheme="majorBidi" w:cstheme="majorBidi"/>
                <w:b w:val="0"/>
                <w:bCs w:val="0"/>
                <w:i/>
                <w:iCs/>
                <w:sz w:val="18"/>
                <w:szCs w:val="18"/>
              </w:rPr>
            </w:pPr>
            <w:r w:rsidRPr="00E21143">
              <w:rPr>
                <w:rFonts w:asciiTheme="majorBidi" w:hAnsiTheme="majorBidi" w:cstheme="majorBidi"/>
                <w:i/>
                <w:iCs/>
                <w:sz w:val="18"/>
                <w:szCs w:val="18"/>
              </w:rPr>
              <w:t>6</w:t>
            </w:r>
            <w:r w:rsidRPr="00E21143">
              <w:rPr>
                <w:rFonts w:asciiTheme="majorBidi" w:hAnsiTheme="majorBidi" w:cstheme="majorBidi"/>
                <w:i/>
                <w:iCs/>
                <w:sz w:val="18"/>
                <w:szCs w:val="18"/>
                <w:vertAlign w:val="superscript"/>
              </w:rPr>
              <w:t>th</w:t>
            </w:r>
          </w:p>
        </w:tc>
        <w:tc>
          <w:tcPr>
            <w:tcW w:w="395" w:type="dxa"/>
          </w:tcPr>
          <w:p w14:paraId="1095E469"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p>
        </w:tc>
        <w:tc>
          <w:tcPr>
            <w:tcW w:w="1346" w:type="dxa"/>
            <w:noWrap/>
            <w:hideMark/>
          </w:tcPr>
          <w:p w14:paraId="61684591"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r w:rsidRPr="00E21143">
              <w:rPr>
                <w:rFonts w:asciiTheme="majorBidi" w:hAnsiTheme="majorBidi" w:cstheme="majorBidi"/>
                <w:i/>
                <w:iCs/>
                <w:sz w:val="18"/>
                <w:szCs w:val="18"/>
              </w:rPr>
              <w:t xml:space="preserve"> QAR 25,000 to QAR 30,000</w:t>
            </w:r>
          </w:p>
        </w:tc>
        <w:tc>
          <w:tcPr>
            <w:tcW w:w="1105" w:type="dxa"/>
            <w:noWrap/>
          </w:tcPr>
          <w:p w14:paraId="7841B911"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37.93</w:t>
            </w:r>
          </w:p>
        </w:tc>
        <w:tc>
          <w:tcPr>
            <w:tcW w:w="1105" w:type="dxa"/>
            <w:noWrap/>
          </w:tcPr>
          <w:p w14:paraId="0C65C8E0"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20.69</w:t>
            </w:r>
          </w:p>
        </w:tc>
        <w:tc>
          <w:tcPr>
            <w:tcW w:w="2084" w:type="dxa"/>
            <w:noWrap/>
          </w:tcPr>
          <w:p w14:paraId="37D7EB0E"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41.38</w:t>
            </w:r>
          </w:p>
        </w:tc>
        <w:tc>
          <w:tcPr>
            <w:tcW w:w="1346" w:type="dxa"/>
            <w:noWrap/>
          </w:tcPr>
          <w:p w14:paraId="71613BF8"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0.00</w:t>
            </w:r>
          </w:p>
        </w:tc>
        <w:tc>
          <w:tcPr>
            <w:tcW w:w="1266" w:type="dxa"/>
            <w:noWrap/>
          </w:tcPr>
          <w:p w14:paraId="3A4688AA"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7.21</w:t>
            </w:r>
          </w:p>
        </w:tc>
      </w:tr>
      <w:tr w:rsidR="00D20CA8" w:rsidRPr="00E21143" w14:paraId="40A4AC46" w14:textId="77777777" w:rsidTr="00A047C0">
        <w:trPr>
          <w:trHeight w:val="295"/>
        </w:trPr>
        <w:tc>
          <w:tcPr>
            <w:cnfStyle w:val="001000000000" w:firstRow="0" w:lastRow="0" w:firstColumn="1" w:lastColumn="0" w:oddVBand="0" w:evenVBand="0" w:oddHBand="0" w:evenHBand="0" w:firstRowFirstColumn="0" w:firstRowLastColumn="0" w:lastRowFirstColumn="0" w:lastRowLastColumn="0"/>
            <w:tcW w:w="796" w:type="dxa"/>
          </w:tcPr>
          <w:p w14:paraId="711711B0" w14:textId="77777777" w:rsidR="00405C79" w:rsidRPr="00E21143" w:rsidRDefault="00405C79" w:rsidP="005C0E20">
            <w:pPr>
              <w:jc w:val="lowKashida"/>
              <w:rPr>
                <w:rFonts w:asciiTheme="majorBidi" w:hAnsiTheme="majorBidi" w:cstheme="majorBidi"/>
                <w:b w:val="0"/>
                <w:bCs w:val="0"/>
                <w:i/>
                <w:iCs/>
                <w:sz w:val="18"/>
                <w:szCs w:val="18"/>
              </w:rPr>
            </w:pPr>
            <w:r w:rsidRPr="00E21143">
              <w:rPr>
                <w:rFonts w:asciiTheme="majorBidi" w:hAnsiTheme="majorBidi" w:cstheme="majorBidi"/>
                <w:i/>
                <w:iCs/>
                <w:sz w:val="18"/>
                <w:szCs w:val="18"/>
              </w:rPr>
              <w:t>7th</w:t>
            </w:r>
          </w:p>
        </w:tc>
        <w:tc>
          <w:tcPr>
            <w:tcW w:w="395" w:type="dxa"/>
          </w:tcPr>
          <w:p w14:paraId="1D0E76F7"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p>
        </w:tc>
        <w:tc>
          <w:tcPr>
            <w:tcW w:w="1346" w:type="dxa"/>
            <w:noWrap/>
            <w:hideMark/>
          </w:tcPr>
          <w:p w14:paraId="4EF6961B"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18"/>
                <w:szCs w:val="18"/>
              </w:rPr>
            </w:pPr>
            <w:r w:rsidRPr="00E21143">
              <w:rPr>
                <w:rFonts w:asciiTheme="majorBidi" w:hAnsiTheme="majorBidi" w:cstheme="majorBidi"/>
                <w:i/>
                <w:iCs/>
                <w:sz w:val="18"/>
                <w:szCs w:val="18"/>
              </w:rPr>
              <w:t>More than QAR 30,000</w:t>
            </w:r>
          </w:p>
        </w:tc>
        <w:tc>
          <w:tcPr>
            <w:tcW w:w="1105" w:type="dxa"/>
            <w:noWrap/>
          </w:tcPr>
          <w:p w14:paraId="64E9625F"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57.50</w:t>
            </w:r>
          </w:p>
        </w:tc>
        <w:tc>
          <w:tcPr>
            <w:tcW w:w="1105" w:type="dxa"/>
            <w:noWrap/>
          </w:tcPr>
          <w:p w14:paraId="686FCB2C"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7.50</w:t>
            </w:r>
          </w:p>
        </w:tc>
        <w:tc>
          <w:tcPr>
            <w:tcW w:w="2084" w:type="dxa"/>
            <w:noWrap/>
          </w:tcPr>
          <w:p w14:paraId="23D25012"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35.00</w:t>
            </w:r>
          </w:p>
        </w:tc>
        <w:tc>
          <w:tcPr>
            <w:tcW w:w="1346" w:type="dxa"/>
            <w:noWrap/>
          </w:tcPr>
          <w:p w14:paraId="56568A65"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0.00</w:t>
            </w:r>
          </w:p>
        </w:tc>
        <w:tc>
          <w:tcPr>
            <w:tcW w:w="1266" w:type="dxa"/>
            <w:noWrap/>
          </w:tcPr>
          <w:p w14:paraId="510825F3" w14:textId="77777777" w:rsidR="00405C79" w:rsidRPr="00E21143" w:rsidRDefault="00405C79" w:rsidP="005C0E20">
            <w:pPr>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9.95</w:t>
            </w:r>
          </w:p>
        </w:tc>
      </w:tr>
      <w:tr w:rsidR="00D20CA8" w:rsidRPr="00E21143" w14:paraId="562F2B98" w14:textId="77777777" w:rsidTr="00A047C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796" w:type="dxa"/>
          </w:tcPr>
          <w:p w14:paraId="0871E0D6" w14:textId="77777777" w:rsidR="00405C79" w:rsidRPr="00E21143" w:rsidRDefault="00405C79" w:rsidP="005C0E20">
            <w:pPr>
              <w:jc w:val="lowKashida"/>
              <w:rPr>
                <w:rFonts w:asciiTheme="majorBidi" w:hAnsiTheme="majorBidi" w:cstheme="majorBidi"/>
                <w:b w:val="0"/>
                <w:bCs w:val="0"/>
                <w:sz w:val="18"/>
                <w:szCs w:val="18"/>
              </w:rPr>
            </w:pPr>
          </w:p>
        </w:tc>
        <w:tc>
          <w:tcPr>
            <w:tcW w:w="395" w:type="dxa"/>
          </w:tcPr>
          <w:p w14:paraId="13CB1855"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tcW w:w="1346" w:type="dxa"/>
            <w:noWrap/>
            <w:hideMark/>
          </w:tcPr>
          <w:p w14:paraId="71713D42"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Total</w:t>
            </w:r>
          </w:p>
        </w:tc>
        <w:tc>
          <w:tcPr>
            <w:tcW w:w="1105" w:type="dxa"/>
            <w:noWrap/>
          </w:tcPr>
          <w:p w14:paraId="2047F8A7"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55.22</w:t>
            </w:r>
          </w:p>
        </w:tc>
        <w:tc>
          <w:tcPr>
            <w:tcW w:w="1105" w:type="dxa"/>
            <w:noWrap/>
          </w:tcPr>
          <w:p w14:paraId="041AD2E6"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8.96</w:t>
            </w:r>
          </w:p>
        </w:tc>
        <w:tc>
          <w:tcPr>
            <w:tcW w:w="2084" w:type="dxa"/>
            <w:noWrap/>
          </w:tcPr>
          <w:p w14:paraId="141965D3"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32.59</w:t>
            </w:r>
          </w:p>
        </w:tc>
        <w:tc>
          <w:tcPr>
            <w:tcW w:w="1346" w:type="dxa"/>
            <w:noWrap/>
          </w:tcPr>
          <w:p w14:paraId="2D63FFD5"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3.23</w:t>
            </w:r>
          </w:p>
        </w:tc>
        <w:tc>
          <w:tcPr>
            <w:tcW w:w="1266" w:type="dxa"/>
            <w:noWrap/>
          </w:tcPr>
          <w:p w14:paraId="705A6059" w14:textId="77777777" w:rsidR="00405C79" w:rsidRPr="00E21143" w:rsidRDefault="00405C79" w:rsidP="005C0E20">
            <w:pPr>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21143">
              <w:rPr>
                <w:rFonts w:asciiTheme="majorBidi" w:hAnsiTheme="majorBidi" w:cstheme="majorBidi"/>
                <w:sz w:val="18"/>
                <w:szCs w:val="18"/>
              </w:rPr>
              <w:t>100.00</w:t>
            </w:r>
          </w:p>
        </w:tc>
      </w:tr>
    </w:tbl>
    <w:p w14:paraId="56E4AF4C" w14:textId="34B04C61" w:rsidR="00900A0E" w:rsidRPr="00D20CA8" w:rsidRDefault="00900A0E" w:rsidP="005C0E20">
      <w:pPr>
        <w:jc w:val="lowKashida"/>
        <w:rPr>
          <w:rFonts w:asciiTheme="majorBidi" w:hAnsiTheme="majorBidi" w:cstheme="majorBidi"/>
          <w:sz w:val="24"/>
          <w:szCs w:val="24"/>
        </w:rPr>
      </w:pPr>
    </w:p>
    <w:p w14:paraId="2F527411" w14:textId="090AD4EC" w:rsidR="00900A0E" w:rsidRPr="00382510" w:rsidRDefault="00900A0E" w:rsidP="005C0E20">
      <w:pPr>
        <w:pStyle w:val="ListParagraph"/>
        <w:numPr>
          <w:ilvl w:val="0"/>
          <w:numId w:val="3"/>
        </w:numPr>
        <w:jc w:val="lowKashida"/>
        <w:rPr>
          <w:rFonts w:asciiTheme="majorBidi" w:hAnsiTheme="majorBidi" w:cstheme="majorBidi"/>
          <w:b/>
          <w:bCs/>
          <w:sz w:val="32"/>
          <w:szCs w:val="32"/>
        </w:rPr>
      </w:pPr>
      <w:r w:rsidRPr="00382510">
        <w:rPr>
          <w:rFonts w:asciiTheme="majorBidi" w:hAnsiTheme="majorBidi" w:cstheme="majorBidi"/>
          <w:b/>
          <w:bCs/>
          <w:sz w:val="32"/>
          <w:szCs w:val="32"/>
        </w:rPr>
        <w:lastRenderedPageBreak/>
        <w:t>Conclusion</w:t>
      </w:r>
    </w:p>
    <w:p w14:paraId="093B7B2F" w14:textId="5E87F971"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Consumers are key drivers of the </w:t>
      </w:r>
      <w:r w:rsidR="00EC5CA4">
        <w:rPr>
          <w:rFonts w:asciiTheme="majorBidi" w:hAnsiTheme="majorBidi" w:cstheme="majorBidi"/>
          <w:sz w:val="24"/>
          <w:szCs w:val="24"/>
        </w:rPr>
        <w:t>CE</w:t>
      </w:r>
      <w:r w:rsidRPr="00D20CA8">
        <w:rPr>
          <w:rFonts w:asciiTheme="majorBidi" w:hAnsiTheme="majorBidi" w:cstheme="majorBidi"/>
          <w:sz w:val="24"/>
          <w:szCs w:val="24"/>
        </w:rPr>
        <w:t xml:space="preserve">'s success by adopting its core principles in daily decisions. The study delves into sustainable consumption and consumer engagement in the </w:t>
      </w:r>
      <w:r w:rsidR="00EC5CA4">
        <w:rPr>
          <w:rFonts w:asciiTheme="majorBidi" w:hAnsiTheme="majorBidi" w:cstheme="majorBidi"/>
          <w:sz w:val="24"/>
          <w:szCs w:val="24"/>
        </w:rPr>
        <w:t>CE</w:t>
      </w:r>
      <w:r w:rsidRPr="00D20CA8">
        <w:rPr>
          <w:rFonts w:asciiTheme="majorBidi" w:hAnsiTheme="majorBidi" w:cstheme="majorBidi"/>
          <w:sz w:val="24"/>
          <w:szCs w:val="24"/>
        </w:rPr>
        <w:t>, examining consumer perception, awareness, attitude, and pro-environmental behavior through a survey questionnaire.</w:t>
      </w:r>
    </w:p>
    <w:p w14:paraId="49F166BB" w14:textId="40E75D4B"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The binary logistic regression analysis reveals a positive significant association between consumer participation in the </w:t>
      </w:r>
      <w:r w:rsidR="00EC5CA4">
        <w:rPr>
          <w:rFonts w:asciiTheme="majorBidi" w:hAnsiTheme="majorBidi" w:cstheme="majorBidi"/>
          <w:sz w:val="24"/>
          <w:szCs w:val="24"/>
        </w:rPr>
        <w:t>CE</w:t>
      </w:r>
      <w:r w:rsidRPr="00D20CA8">
        <w:rPr>
          <w:rFonts w:asciiTheme="majorBidi" w:hAnsiTheme="majorBidi" w:cstheme="majorBidi"/>
          <w:sz w:val="24"/>
          <w:szCs w:val="24"/>
        </w:rPr>
        <w:t xml:space="preserve">, awareness, and education level. Education and awareness increase the likelihood of consumer participation, with those knowledgeable about the </w:t>
      </w:r>
      <w:r w:rsidR="00EC5CA4">
        <w:rPr>
          <w:rFonts w:asciiTheme="majorBidi" w:hAnsiTheme="majorBidi" w:cstheme="majorBidi"/>
          <w:sz w:val="24"/>
          <w:szCs w:val="24"/>
        </w:rPr>
        <w:t>CE</w:t>
      </w:r>
      <w:r w:rsidRPr="00D20CA8">
        <w:rPr>
          <w:rFonts w:asciiTheme="majorBidi" w:hAnsiTheme="majorBidi" w:cstheme="majorBidi"/>
          <w:sz w:val="24"/>
          <w:szCs w:val="24"/>
        </w:rPr>
        <w:t xml:space="preserve"> having 2.48 times higher odds of participation. Awareness of their role in environmental issues boosts participation odds by 6 times, and respondents with bachelor's degrees and above show higher participation likelihood </w:t>
      </w:r>
      <w:r w:rsidR="00F436A1">
        <w:rPr>
          <w:rFonts w:asciiTheme="majorBidi" w:hAnsiTheme="majorBidi" w:cstheme="majorBidi"/>
          <w:sz w:val="24"/>
          <w:szCs w:val="24"/>
        </w:rPr>
        <w:t>than</w:t>
      </w:r>
      <w:r w:rsidRPr="00D20CA8">
        <w:rPr>
          <w:rFonts w:asciiTheme="majorBidi" w:hAnsiTheme="majorBidi" w:cstheme="majorBidi"/>
          <w:sz w:val="24"/>
          <w:szCs w:val="24"/>
        </w:rPr>
        <w:t xml:space="preserve"> those with secondary school education.</w:t>
      </w:r>
    </w:p>
    <w:p w14:paraId="6C700587" w14:textId="77745F14"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The detailed assessment of consumer perception habits and participation reveals that many consumers </w:t>
      </w:r>
      <w:r w:rsidR="00F436A1">
        <w:rPr>
          <w:rFonts w:asciiTheme="majorBidi" w:hAnsiTheme="majorBidi" w:cstheme="majorBidi"/>
          <w:sz w:val="24"/>
          <w:szCs w:val="24"/>
        </w:rPr>
        <w:t>buy</w:t>
      </w:r>
      <w:r w:rsidRPr="00D20CA8">
        <w:rPr>
          <w:rFonts w:asciiTheme="majorBidi" w:hAnsiTheme="majorBidi" w:cstheme="majorBidi"/>
          <w:sz w:val="24"/>
          <w:szCs w:val="24"/>
        </w:rPr>
        <w:t xml:space="preserve"> eco-friendly, reusable, energy-saving products, repurposing resources, and participating in the sharing economy. However, purchasing from second-hand stores and using public transport for emission reduction is low. Despite high waste generation per capita due to excessive consumerism in Qatar, most respondents believe in the possibility of leading a healthy and happy life in Qatar while using fewer resources.</w:t>
      </w:r>
    </w:p>
    <w:p w14:paraId="019066DB" w14:textId="7777777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Half of the respondents consider environmental factors, price, durability, and repair service availability moderately important in their purchasing decisions. While 87% support recycling, some note its absence in Qatar. Consumers prioritize eco-friendly products after price and quality satisfaction. Repair services are popular, with 77% engaging in self-repair at least once. Lack of repair services is cited as the primary reason for replacing consumer items.</w:t>
      </w:r>
    </w:p>
    <w:p w14:paraId="29EFC9DF" w14:textId="3F6AC367"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Most respondents cite higher prices of regular items as the main reason for not shopping for environmentally friendly products, followed by lack of variety and availability. The study explores consumer perceptions of religious, ethical, and cultural values in purchasing. Findings indicate that religious values, particularly among Muslims (94%), play a crucial role in environmental care and waste reduction, with religious motivation being the primary driver for contributing to the </w:t>
      </w:r>
      <w:r w:rsidR="00EC5CA4">
        <w:rPr>
          <w:rFonts w:asciiTheme="majorBidi" w:hAnsiTheme="majorBidi" w:cstheme="majorBidi"/>
          <w:sz w:val="24"/>
          <w:szCs w:val="24"/>
        </w:rPr>
        <w:t>CE</w:t>
      </w:r>
      <w:r w:rsidRPr="00D20CA8">
        <w:rPr>
          <w:rFonts w:asciiTheme="majorBidi" w:hAnsiTheme="majorBidi" w:cstheme="majorBidi"/>
          <w:sz w:val="24"/>
          <w:szCs w:val="24"/>
        </w:rPr>
        <w:t xml:space="preserve"> and environmental care compared to ethical or financial motivations. Consumers show willingness to pay for environmentally friendly and reusable products, indicating a positive response to incentives.</w:t>
      </w:r>
    </w:p>
    <w:p w14:paraId="3FEB696A" w14:textId="3EC70F20" w:rsidR="00900A0E"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Consumers respond well to financial incentives, with income variations not affecting willingness to pay or responses to incentives. The consumer perspective in Qatar reflects an optimistic view toward building the </w:t>
      </w:r>
      <w:r w:rsidR="00EC5CA4">
        <w:rPr>
          <w:rFonts w:asciiTheme="majorBidi" w:hAnsiTheme="majorBidi" w:cstheme="majorBidi"/>
          <w:sz w:val="24"/>
          <w:szCs w:val="24"/>
        </w:rPr>
        <w:t>CE</w:t>
      </w:r>
      <w:r w:rsidRPr="00D20CA8">
        <w:rPr>
          <w:rFonts w:asciiTheme="majorBidi" w:hAnsiTheme="majorBidi" w:cstheme="majorBidi"/>
          <w:sz w:val="24"/>
          <w:szCs w:val="24"/>
        </w:rPr>
        <w:t>, indicating a positive attitude and perception. Despite challenges, transforming everyday practices aligns well with Qatar's culture and lifestyle, highlighting the need to address critical issues to enhance consumer engagement.</w:t>
      </w:r>
    </w:p>
    <w:p w14:paraId="79D6C1B5" w14:textId="77777777" w:rsidR="00382510" w:rsidRDefault="00382510" w:rsidP="005C0E20">
      <w:pPr>
        <w:jc w:val="lowKashida"/>
        <w:rPr>
          <w:rFonts w:asciiTheme="majorBidi" w:hAnsiTheme="majorBidi" w:cstheme="majorBidi"/>
          <w:sz w:val="24"/>
          <w:szCs w:val="24"/>
        </w:rPr>
      </w:pPr>
    </w:p>
    <w:p w14:paraId="23370C38" w14:textId="77777777" w:rsidR="00382510" w:rsidRDefault="00382510" w:rsidP="005C0E20">
      <w:pPr>
        <w:jc w:val="lowKashida"/>
        <w:rPr>
          <w:rFonts w:asciiTheme="majorBidi" w:hAnsiTheme="majorBidi" w:cstheme="majorBidi"/>
          <w:sz w:val="24"/>
          <w:szCs w:val="24"/>
        </w:rPr>
      </w:pPr>
    </w:p>
    <w:p w14:paraId="51C9EBA8" w14:textId="77777777" w:rsidR="00382510" w:rsidRPr="00D20CA8" w:rsidRDefault="00382510" w:rsidP="005C0E20">
      <w:pPr>
        <w:jc w:val="lowKashida"/>
        <w:rPr>
          <w:rFonts w:asciiTheme="majorBidi" w:hAnsiTheme="majorBidi" w:cstheme="majorBidi"/>
          <w:sz w:val="24"/>
          <w:szCs w:val="24"/>
        </w:rPr>
      </w:pPr>
    </w:p>
    <w:p w14:paraId="09AABD94" w14:textId="536D6038" w:rsidR="00900A0E" w:rsidRPr="00382510" w:rsidRDefault="00900A0E" w:rsidP="005C0E20">
      <w:pPr>
        <w:pStyle w:val="ListParagraph"/>
        <w:numPr>
          <w:ilvl w:val="0"/>
          <w:numId w:val="3"/>
        </w:numPr>
        <w:jc w:val="lowKashida"/>
        <w:rPr>
          <w:rFonts w:asciiTheme="majorBidi" w:hAnsiTheme="majorBidi" w:cstheme="majorBidi"/>
          <w:b/>
          <w:bCs/>
          <w:sz w:val="32"/>
          <w:szCs w:val="32"/>
        </w:rPr>
      </w:pPr>
      <w:r w:rsidRPr="00382510">
        <w:rPr>
          <w:rFonts w:asciiTheme="majorBidi" w:hAnsiTheme="majorBidi" w:cstheme="majorBidi"/>
          <w:b/>
          <w:bCs/>
          <w:sz w:val="32"/>
          <w:szCs w:val="32"/>
        </w:rPr>
        <w:lastRenderedPageBreak/>
        <w:t xml:space="preserve">Policy </w:t>
      </w:r>
      <w:r w:rsidR="00382510">
        <w:rPr>
          <w:rFonts w:asciiTheme="majorBidi" w:hAnsiTheme="majorBidi" w:cstheme="majorBidi"/>
          <w:b/>
          <w:bCs/>
          <w:sz w:val="32"/>
          <w:szCs w:val="32"/>
        </w:rPr>
        <w:t>R</w:t>
      </w:r>
      <w:r w:rsidRPr="00382510">
        <w:rPr>
          <w:rFonts w:asciiTheme="majorBidi" w:hAnsiTheme="majorBidi" w:cstheme="majorBidi"/>
          <w:b/>
          <w:bCs/>
          <w:sz w:val="32"/>
          <w:szCs w:val="32"/>
        </w:rPr>
        <w:t>ecommendation</w:t>
      </w:r>
    </w:p>
    <w:p w14:paraId="76379986" w14:textId="5048DDAF"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Educating and engaging consumers on circular practices can drive Qatar towards a sustainable future. Recommendations include addressing consumer concerns to boost engagement. Improving repair services through initiatives like the EU right to repair and Repair Cafés, providing repair information with product packaging, ensuring </w:t>
      </w:r>
      <w:r w:rsidR="00F436A1">
        <w:rPr>
          <w:rFonts w:asciiTheme="majorBidi" w:hAnsiTheme="majorBidi" w:cstheme="majorBidi"/>
          <w:sz w:val="24"/>
          <w:szCs w:val="24"/>
        </w:rPr>
        <w:t xml:space="preserve">the </w:t>
      </w:r>
      <w:r w:rsidRPr="00D20CA8">
        <w:rPr>
          <w:rFonts w:asciiTheme="majorBidi" w:hAnsiTheme="majorBidi" w:cstheme="majorBidi"/>
          <w:sz w:val="24"/>
          <w:szCs w:val="24"/>
        </w:rPr>
        <w:t>availability of repair materials in the market, and keeping repair costs low are suggested actions for promoting self-repair and sustainability.</w:t>
      </w:r>
    </w:p>
    <w:p w14:paraId="62DE3F66" w14:textId="7BD2A7F0"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Consumers show a preference for environmentally friendly products but encounter constraints. Improvements can be made through appropriate pricing policies, increased product variety, and </w:t>
      </w:r>
      <w:proofErr w:type="gramStart"/>
      <w:r w:rsidRPr="00D20CA8">
        <w:rPr>
          <w:rFonts w:asciiTheme="majorBidi" w:hAnsiTheme="majorBidi" w:cstheme="majorBidi"/>
          <w:sz w:val="24"/>
          <w:szCs w:val="24"/>
        </w:rPr>
        <w:t>reduc</w:t>
      </w:r>
      <w:r w:rsidR="00F436A1">
        <w:rPr>
          <w:rFonts w:asciiTheme="majorBidi" w:hAnsiTheme="majorBidi" w:cstheme="majorBidi"/>
          <w:sz w:val="24"/>
          <w:szCs w:val="24"/>
        </w:rPr>
        <w:t>ed</w:t>
      </w:r>
      <w:r w:rsidRPr="00D20CA8">
        <w:rPr>
          <w:rFonts w:asciiTheme="majorBidi" w:hAnsiTheme="majorBidi" w:cstheme="majorBidi"/>
          <w:sz w:val="24"/>
          <w:szCs w:val="24"/>
        </w:rPr>
        <w:t xml:space="preserve"> price</w:t>
      </w:r>
      <w:proofErr w:type="gramEnd"/>
      <w:r w:rsidRPr="00D20CA8">
        <w:rPr>
          <w:rFonts w:asciiTheme="majorBidi" w:hAnsiTheme="majorBidi" w:cstheme="majorBidi"/>
          <w:sz w:val="24"/>
          <w:szCs w:val="24"/>
        </w:rPr>
        <w:t xml:space="preserve"> gaps. Promoting recycling benefits can involve incorporating recycling information on online retail platforms, local business advertising campaigns, and implementing incentive programs.</w:t>
      </w:r>
    </w:p>
    <w:p w14:paraId="57C3905F" w14:textId="014394D2" w:rsidR="00900A0E" w:rsidRPr="00D20CA8" w:rsidRDefault="00900A0E" w:rsidP="005C0E20">
      <w:pPr>
        <w:jc w:val="lowKashida"/>
        <w:rPr>
          <w:rFonts w:asciiTheme="majorBidi" w:hAnsiTheme="majorBidi" w:cstheme="majorBidi"/>
          <w:sz w:val="24"/>
          <w:szCs w:val="24"/>
        </w:rPr>
      </w:pPr>
      <w:r w:rsidRPr="00D20CA8">
        <w:rPr>
          <w:rFonts w:asciiTheme="majorBidi" w:hAnsiTheme="majorBidi" w:cstheme="majorBidi"/>
          <w:sz w:val="24"/>
          <w:szCs w:val="24"/>
        </w:rPr>
        <w:t xml:space="preserve">Introducing policies to promote recycling and providing transparent information to the public is crucial. Lack of clarity on recycling processes can undermine consumer confidence in eco-labeling and </w:t>
      </w:r>
      <w:r w:rsidR="00F436A1">
        <w:rPr>
          <w:rFonts w:asciiTheme="majorBidi" w:hAnsiTheme="majorBidi" w:cstheme="majorBidi"/>
          <w:sz w:val="24"/>
          <w:szCs w:val="24"/>
        </w:rPr>
        <w:t>increase</w:t>
      </w:r>
      <w:r w:rsidRPr="00D20CA8">
        <w:rPr>
          <w:rFonts w:asciiTheme="majorBidi" w:hAnsiTheme="majorBidi" w:cstheme="majorBidi"/>
          <w:sz w:val="24"/>
          <w:szCs w:val="24"/>
        </w:rPr>
        <w:t xml:space="preserve"> waste. Addressing the high household food waste of 95 kg per year compared to the global average of 75 kg is essential. Increasing awareness and educational programs focusing on integrating religious teachings into consumer lifestyles can </w:t>
      </w:r>
      <w:r w:rsidR="00F436A1">
        <w:rPr>
          <w:rFonts w:asciiTheme="majorBidi" w:hAnsiTheme="majorBidi" w:cstheme="majorBidi"/>
          <w:sz w:val="24"/>
          <w:szCs w:val="24"/>
        </w:rPr>
        <w:t>effectively encourage environmentally conscious behaviors and support</w:t>
      </w:r>
      <w:r w:rsidRPr="00D20CA8">
        <w:rPr>
          <w:rFonts w:asciiTheme="majorBidi" w:hAnsiTheme="majorBidi" w:cstheme="majorBidi"/>
          <w:sz w:val="24"/>
          <w:szCs w:val="24"/>
        </w:rPr>
        <w:t xml:space="preserve"> </w:t>
      </w:r>
      <w:r w:rsidR="00EC5CA4">
        <w:rPr>
          <w:rFonts w:asciiTheme="majorBidi" w:hAnsiTheme="majorBidi" w:cstheme="majorBidi"/>
          <w:sz w:val="24"/>
          <w:szCs w:val="24"/>
        </w:rPr>
        <w:t>CE</w:t>
      </w:r>
      <w:r w:rsidRPr="00D20CA8">
        <w:rPr>
          <w:rFonts w:asciiTheme="majorBidi" w:hAnsiTheme="majorBidi" w:cstheme="majorBidi"/>
          <w:sz w:val="24"/>
          <w:szCs w:val="24"/>
        </w:rPr>
        <w:t xml:space="preserve"> initiatives.</w:t>
      </w:r>
    </w:p>
    <w:p w14:paraId="048669BB" w14:textId="77777777" w:rsidR="00900A0E" w:rsidRPr="00D20CA8" w:rsidRDefault="00900A0E" w:rsidP="005C0E20">
      <w:pPr>
        <w:jc w:val="lowKashida"/>
        <w:rPr>
          <w:rFonts w:asciiTheme="majorBidi" w:hAnsiTheme="majorBidi" w:cstheme="majorBidi"/>
          <w:sz w:val="24"/>
          <w:szCs w:val="24"/>
        </w:rPr>
      </w:pPr>
    </w:p>
    <w:p w14:paraId="3392CD8D" w14:textId="77777777" w:rsidR="00900A0E" w:rsidRPr="00382510" w:rsidRDefault="00900A0E" w:rsidP="005C0E20">
      <w:pPr>
        <w:jc w:val="lowKashida"/>
        <w:rPr>
          <w:rFonts w:asciiTheme="majorBidi" w:hAnsiTheme="majorBidi" w:cstheme="majorBidi"/>
          <w:b/>
          <w:bCs/>
          <w:sz w:val="32"/>
          <w:szCs w:val="32"/>
        </w:rPr>
      </w:pPr>
      <w:r w:rsidRPr="00382510">
        <w:rPr>
          <w:rFonts w:asciiTheme="majorBidi" w:hAnsiTheme="majorBidi" w:cstheme="majorBidi"/>
          <w:b/>
          <w:bCs/>
          <w:sz w:val="32"/>
          <w:szCs w:val="32"/>
        </w:rPr>
        <w:t>References</w:t>
      </w:r>
    </w:p>
    <w:p w14:paraId="6C461E07"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Ahmad, W., Jafar, R. M. S., Waheed, A., Sun, H., &amp; Kazmi, S. S. A. S. (2023). Determinants of CSR and green purchase intention: Mediating role of customer green psychology during COVID-19 pandemic. Journal of Cleaner Production, 389, 135888. https://doi.org/10.1016/j.jclepro.2023.135888</w:t>
      </w:r>
    </w:p>
    <w:p w14:paraId="58FAD765"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Boyer, R. H. W., Hunka, A. D., Linder, M., Whalen, K. A., &amp; Habibi, S. (2021). Product Labels for the Circular Economy: Are Customers Willing to Pay for Circular? Sustainable Production and Consumption, 27, 61–71. https://doi.org/10.1016/j.spc.2020.10.010</w:t>
      </w:r>
    </w:p>
    <w:p w14:paraId="2A262A6A"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r>
      <w:proofErr w:type="spellStart"/>
      <w:r w:rsidRPr="00D20CA8">
        <w:rPr>
          <w:rFonts w:asciiTheme="majorBidi" w:hAnsiTheme="majorBidi" w:cstheme="majorBidi"/>
          <w:sz w:val="24"/>
          <w:szCs w:val="24"/>
        </w:rPr>
        <w:t>Büyükkaragöz</w:t>
      </w:r>
      <w:proofErr w:type="spellEnd"/>
      <w:r w:rsidRPr="00D20CA8">
        <w:rPr>
          <w:rFonts w:asciiTheme="majorBidi" w:hAnsiTheme="majorBidi" w:cstheme="majorBidi"/>
          <w:sz w:val="24"/>
          <w:szCs w:val="24"/>
        </w:rPr>
        <w:t xml:space="preserve">, A., Bas, M., Sağlam, D., &amp; Cengiz, Ş. E. (2014). Consumers' awareness, </w:t>
      </w:r>
      <w:proofErr w:type="gramStart"/>
      <w:r w:rsidRPr="00D20CA8">
        <w:rPr>
          <w:rFonts w:asciiTheme="majorBidi" w:hAnsiTheme="majorBidi" w:cstheme="majorBidi"/>
          <w:sz w:val="24"/>
          <w:szCs w:val="24"/>
        </w:rPr>
        <w:t>acceptance</w:t>
      </w:r>
      <w:proofErr w:type="gramEnd"/>
      <w:r w:rsidRPr="00D20CA8">
        <w:rPr>
          <w:rFonts w:asciiTheme="majorBidi" w:hAnsiTheme="majorBidi" w:cstheme="majorBidi"/>
          <w:sz w:val="24"/>
          <w:szCs w:val="24"/>
        </w:rPr>
        <w:t xml:space="preserve"> and attitudes towards functional foods in Turkey: Functional food and consumers. International Journal of Consumer Studies, 38(6), 628–635. https://doi.org/10.1111/ijcs.12134</w:t>
      </w:r>
    </w:p>
    <w:p w14:paraId="1535ED7E"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Colasante, A., &amp; D’Adamo, I. (2021). The circular economy and bioeconomy in the fashion sector: Emergence of a "sustainability bias." Journal of Cleaner Production, 329, 129774. https://doi.org/10.1016/j.jclepro.2021.129774</w:t>
      </w:r>
    </w:p>
    <w:p w14:paraId="50E4AB1A"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Cooper, T., &amp; Salvia, G. (2018). Fix it: Barriers to repair and opportunities for change. Subverting Consumerism, 147-165.</w:t>
      </w:r>
    </w:p>
    <w:p w14:paraId="58393DB7"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 xml:space="preserve">De Aguiar Hugo, A., De </w:t>
      </w:r>
      <w:proofErr w:type="spellStart"/>
      <w:r w:rsidRPr="00D20CA8">
        <w:rPr>
          <w:rFonts w:asciiTheme="majorBidi" w:hAnsiTheme="majorBidi" w:cstheme="majorBidi"/>
          <w:sz w:val="24"/>
          <w:szCs w:val="24"/>
        </w:rPr>
        <w:t>Nadae</w:t>
      </w:r>
      <w:proofErr w:type="spellEnd"/>
      <w:r w:rsidRPr="00D20CA8">
        <w:rPr>
          <w:rFonts w:asciiTheme="majorBidi" w:hAnsiTheme="majorBidi" w:cstheme="majorBidi"/>
          <w:sz w:val="24"/>
          <w:szCs w:val="24"/>
        </w:rPr>
        <w:t xml:space="preserve">, J., &amp; Da Silva Lima, R. (2023). Consumer perceptions and actions related to circular fashion items: Perspectives of young Brazilians on circular </w:t>
      </w:r>
      <w:r w:rsidRPr="00D20CA8">
        <w:rPr>
          <w:rFonts w:asciiTheme="majorBidi" w:hAnsiTheme="majorBidi" w:cstheme="majorBidi"/>
          <w:sz w:val="24"/>
          <w:szCs w:val="24"/>
        </w:rPr>
        <w:lastRenderedPageBreak/>
        <w:t>economy. Waste Management &amp; Research: The Journal for a Sustainable Circular Economy, 41(2), 350–367. https://doi.org/10.1177/0734242X221122571</w:t>
      </w:r>
    </w:p>
    <w:p w14:paraId="27017A69"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 xml:space="preserve">Di Iorio, V., Testa, F., </w:t>
      </w:r>
      <w:proofErr w:type="spellStart"/>
      <w:r w:rsidRPr="00D20CA8">
        <w:rPr>
          <w:rFonts w:asciiTheme="majorBidi" w:hAnsiTheme="majorBidi" w:cstheme="majorBidi"/>
          <w:sz w:val="24"/>
          <w:szCs w:val="24"/>
        </w:rPr>
        <w:t>Korschun</w:t>
      </w:r>
      <w:proofErr w:type="spellEnd"/>
      <w:r w:rsidRPr="00D20CA8">
        <w:rPr>
          <w:rFonts w:asciiTheme="majorBidi" w:hAnsiTheme="majorBidi" w:cstheme="majorBidi"/>
          <w:sz w:val="24"/>
          <w:szCs w:val="24"/>
        </w:rPr>
        <w:t xml:space="preserve">, D., </w:t>
      </w:r>
      <w:proofErr w:type="spellStart"/>
      <w:r w:rsidRPr="00D20CA8">
        <w:rPr>
          <w:rFonts w:asciiTheme="majorBidi" w:hAnsiTheme="majorBidi" w:cstheme="majorBidi"/>
          <w:sz w:val="24"/>
          <w:szCs w:val="24"/>
        </w:rPr>
        <w:t>Iraldo</w:t>
      </w:r>
      <w:proofErr w:type="spellEnd"/>
      <w:r w:rsidRPr="00D20CA8">
        <w:rPr>
          <w:rFonts w:asciiTheme="majorBidi" w:hAnsiTheme="majorBidi" w:cstheme="majorBidi"/>
          <w:sz w:val="24"/>
          <w:szCs w:val="24"/>
        </w:rPr>
        <w:t>, F., &amp; Iovino, R. (2023). Curious about the circular economy? Internal and external influences on information search about the product lifecycle. Business Strategy and the Environment, 32(4), 2193–2208. https://doi.org/10.1002/bse.3243</w:t>
      </w:r>
    </w:p>
    <w:p w14:paraId="7EC1DB51"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Ellen MacArthur Foundation, Towards the circular economy Vol. 3: accelerating the scale-up across global supply chains (2014).</w:t>
      </w:r>
    </w:p>
    <w:p w14:paraId="38E0D649"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Ellen MacArthur Foundation, Growth within: A circular economy vision for a competitive Europe (2015).</w:t>
      </w:r>
    </w:p>
    <w:p w14:paraId="4C9433D5"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Elzinga, R., Reike, D., Negro, S. O., &amp; Boon, W. P. C. (2020). Consumer acceptance of circular business models. Journal of Cleaner Production, 254, 119988. https://doi.org/10.1016/j.jclepro.2020.119988</w:t>
      </w:r>
    </w:p>
    <w:p w14:paraId="6C955834"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r>
      <w:proofErr w:type="spellStart"/>
      <w:r w:rsidRPr="00D20CA8">
        <w:rPr>
          <w:rFonts w:asciiTheme="majorBidi" w:hAnsiTheme="majorBidi" w:cstheme="majorBidi"/>
          <w:sz w:val="24"/>
          <w:szCs w:val="24"/>
        </w:rPr>
        <w:t>Frenken</w:t>
      </w:r>
      <w:proofErr w:type="spellEnd"/>
      <w:r w:rsidRPr="00D20CA8">
        <w:rPr>
          <w:rFonts w:asciiTheme="majorBidi" w:hAnsiTheme="majorBidi" w:cstheme="majorBidi"/>
          <w:sz w:val="24"/>
          <w:szCs w:val="24"/>
        </w:rPr>
        <w:t>, K., &amp; Schor, J. (2017). Putting the sharing economy into perspective. Environmental Innovation and Societal Transitions, 23, 3–10. https://doi.org/10.1016/j.eist.2017.01.003</w:t>
      </w:r>
    </w:p>
    <w:p w14:paraId="3865BD53"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 xml:space="preserve">Guo, M., &amp; Huang, W. (2023). Consumer Willingness to Recycle </w:t>
      </w:r>
      <w:proofErr w:type="gramStart"/>
      <w:r w:rsidRPr="00D20CA8">
        <w:rPr>
          <w:rFonts w:asciiTheme="majorBidi" w:hAnsiTheme="majorBidi" w:cstheme="majorBidi"/>
          <w:sz w:val="24"/>
          <w:szCs w:val="24"/>
        </w:rPr>
        <w:t>The</w:t>
      </w:r>
      <w:proofErr w:type="gramEnd"/>
      <w:r w:rsidRPr="00D20CA8">
        <w:rPr>
          <w:rFonts w:asciiTheme="majorBidi" w:hAnsiTheme="majorBidi" w:cstheme="majorBidi"/>
          <w:sz w:val="24"/>
          <w:szCs w:val="24"/>
        </w:rPr>
        <w:t xml:space="preserve"> Wasted Batteries of Electric Vehicles in the Era of Circular Economy. Sustainability, 15(3), 2630. https://doi.org/10.3390/su15032630</w:t>
      </w:r>
    </w:p>
    <w:p w14:paraId="321CEB80"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Hiller, A., &amp; Woodall, T. (2019). Everything Flows: A Pragmatist Perspective of Trade-Offs and Value in Ethical Consumption. Journal of Business Ethics, 157(4), 893–912. https://doi.org/10.1007/s10551-018-3956-5</w:t>
      </w:r>
    </w:p>
    <w:p w14:paraId="1A8358E1"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Hinojo, P., Suárez, D., &amp; García-</w:t>
      </w:r>
      <w:proofErr w:type="spellStart"/>
      <w:r w:rsidRPr="00D20CA8">
        <w:rPr>
          <w:rFonts w:asciiTheme="majorBidi" w:hAnsiTheme="majorBidi" w:cstheme="majorBidi"/>
          <w:sz w:val="24"/>
          <w:szCs w:val="24"/>
        </w:rPr>
        <w:t>Mariñoso</w:t>
      </w:r>
      <w:proofErr w:type="spellEnd"/>
      <w:r w:rsidRPr="00D20CA8">
        <w:rPr>
          <w:rFonts w:asciiTheme="majorBidi" w:hAnsiTheme="majorBidi" w:cstheme="majorBidi"/>
          <w:sz w:val="24"/>
          <w:szCs w:val="24"/>
        </w:rPr>
        <w:t>, B. (2022). Drivers of Consumer Participation in Online Second-Hand Transactions. Sustainability, 14(7), 4318. https://doi.org/10.3390/su14074318</w:t>
      </w:r>
    </w:p>
    <w:p w14:paraId="3BF57F3D"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Hobson, K. (2020). 'Small stories of closing loops': Social circularity and the everyday circular economy. Climatic Change, 163(1), 99–116. https://doi.org/10.1007/s10584-019-02480-z</w:t>
      </w:r>
    </w:p>
    <w:p w14:paraId="541F1649"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Hosta, M., &amp; Zabkar, V. (2021). Antecedents of Environmentally and Socially Responsible Sustainable Consumer Behavior. Journal of Business Ethics, 171(2), 273–293. https://doi.org/10.1007/s10551-019-04416-0</w:t>
      </w:r>
    </w:p>
    <w:p w14:paraId="47A6C12A"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Khan, J., &amp; Rundle‐Thiele, S. (2019). Factors explaining shared clothes consumption in China: Individual benefit or planet concern? International Journal of Nonprofit and Voluntary Sector Marketing, 24(4). https://doi.org/10.1002/nvsm.1652</w:t>
      </w:r>
    </w:p>
    <w:p w14:paraId="634D4F82"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 xml:space="preserve">Kolling, C., Ribeiro, J. L. D., Morea, D., &amp; </w:t>
      </w:r>
      <w:proofErr w:type="spellStart"/>
      <w:r w:rsidRPr="00D20CA8">
        <w:rPr>
          <w:rFonts w:asciiTheme="majorBidi" w:hAnsiTheme="majorBidi" w:cstheme="majorBidi"/>
          <w:sz w:val="24"/>
          <w:szCs w:val="24"/>
        </w:rPr>
        <w:t>Iazzolino</w:t>
      </w:r>
      <w:proofErr w:type="spellEnd"/>
      <w:r w:rsidRPr="00D20CA8">
        <w:rPr>
          <w:rFonts w:asciiTheme="majorBidi" w:hAnsiTheme="majorBidi" w:cstheme="majorBidi"/>
          <w:sz w:val="24"/>
          <w:szCs w:val="24"/>
        </w:rPr>
        <w:t xml:space="preserve">, G. (2023). Corporate social responsibility and circular economy from the perspective of consumers: A cross‐cultural analysis </w:t>
      </w:r>
      <w:r w:rsidRPr="00D20CA8">
        <w:rPr>
          <w:rFonts w:asciiTheme="majorBidi" w:hAnsiTheme="majorBidi" w:cstheme="majorBidi"/>
          <w:sz w:val="24"/>
          <w:szCs w:val="24"/>
        </w:rPr>
        <w:lastRenderedPageBreak/>
        <w:t>in the cosmetic industry. Corporate Social Responsibility and Environmental Management, 30(3), 1226–1243. https://doi.org/10.1002/csr.2415</w:t>
      </w:r>
    </w:p>
    <w:p w14:paraId="27F0139B"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r>
      <w:proofErr w:type="spellStart"/>
      <w:r w:rsidRPr="00D20CA8">
        <w:rPr>
          <w:rFonts w:asciiTheme="majorBidi" w:hAnsiTheme="majorBidi" w:cstheme="majorBidi"/>
          <w:sz w:val="24"/>
          <w:szCs w:val="24"/>
        </w:rPr>
        <w:t>Korsunova</w:t>
      </w:r>
      <w:proofErr w:type="spellEnd"/>
      <w:r w:rsidRPr="00D20CA8">
        <w:rPr>
          <w:rFonts w:asciiTheme="majorBidi" w:hAnsiTheme="majorBidi" w:cstheme="majorBidi"/>
          <w:sz w:val="24"/>
          <w:szCs w:val="24"/>
        </w:rPr>
        <w:t>, A., Heiskanen, E., &amp; Vainio, A. (2023). Consumer decision-making on repair in a circular economy: A process model based on experiences among young adults and stakeholders in Finland. Journal of Cleaner Production, 405, 137052. https://doi.org/10.1016/j.jclepro.2023.137052</w:t>
      </w:r>
    </w:p>
    <w:p w14:paraId="402CF1EF"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 xml:space="preserve">Lakatos, E. S., Dan, V., </w:t>
      </w:r>
      <w:proofErr w:type="spellStart"/>
      <w:r w:rsidRPr="00D20CA8">
        <w:rPr>
          <w:rFonts w:asciiTheme="majorBidi" w:hAnsiTheme="majorBidi" w:cstheme="majorBidi"/>
          <w:sz w:val="24"/>
          <w:szCs w:val="24"/>
        </w:rPr>
        <w:t>Cioca</w:t>
      </w:r>
      <w:proofErr w:type="spellEnd"/>
      <w:r w:rsidRPr="00D20CA8">
        <w:rPr>
          <w:rFonts w:asciiTheme="majorBidi" w:hAnsiTheme="majorBidi" w:cstheme="majorBidi"/>
          <w:sz w:val="24"/>
          <w:szCs w:val="24"/>
        </w:rPr>
        <w:t xml:space="preserve">, L. I., </w:t>
      </w:r>
      <w:proofErr w:type="spellStart"/>
      <w:r w:rsidRPr="00D20CA8">
        <w:rPr>
          <w:rFonts w:asciiTheme="majorBidi" w:hAnsiTheme="majorBidi" w:cstheme="majorBidi"/>
          <w:sz w:val="24"/>
          <w:szCs w:val="24"/>
        </w:rPr>
        <w:t>Bacali</w:t>
      </w:r>
      <w:proofErr w:type="spellEnd"/>
      <w:r w:rsidRPr="00D20CA8">
        <w:rPr>
          <w:rFonts w:asciiTheme="majorBidi" w:hAnsiTheme="majorBidi" w:cstheme="majorBidi"/>
          <w:sz w:val="24"/>
          <w:szCs w:val="24"/>
        </w:rPr>
        <w:t>, L., &amp; Ciobanu, A. M. (2016). How supportive are Romanian consumers of the circular economy concept: A survey. Sustainability (Switzerland), 8(8). https://doi.org/10.3390/su8080789</w:t>
      </w:r>
    </w:p>
    <w:p w14:paraId="174A2263"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 xml:space="preserve">Lacy, P., &amp; </w:t>
      </w:r>
      <w:proofErr w:type="spellStart"/>
      <w:r w:rsidRPr="00D20CA8">
        <w:rPr>
          <w:rFonts w:asciiTheme="majorBidi" w:hAnsiTheme="majorBidi" w:cstheme="majorBidi"/>
          <w:sz w:val="24"/>
          <w:szCs w:val="24"/>
        </w:rPr>
        <w:t>Rutqvist</w:t>
      </w:r>
      <w:proofErr w:type="spellEnd"/>
      <w:r w:rsidRPr="00D20CA8">
        <w:rPr>
          <w:rFonts w:asciiTheme="majorBidi" w:hAnsiTheme="majorBidi" w:cstheme="majorBidi"/>
          <w:sz w:val="24"/>
          <w:szCs w:val="24"/>
        </w:rPr>
        <w:t>, J. (2015). Waste to wealth: The circular economy advantage (Vol. 91). London: Palgrave Macmillan.</w:t>
      </w:r>
    </w:p>
    <w:p w14:paraId="6DEB4A66"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Lacy, P., Long, J., &amp; Spindler, W. (2020). The circular economy handbook (Vol. 259). London, UK: Palgrave Macmillan UK.</w:t>
      </w:r>
    </w:p>
    <w:p w14:paraId="602239B1"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Lieder, M., Asif, F. M. A., Rashid, A., Mihelič, A., &amp; Kotnik, S. (2018). A conjoint analysis of circular economy value propositions for consumers: Using "washing machines in Stockholm" as a case study. Journal of Cleaner Production, 172, 264–273. https://doi.org/10.1016/j.jclepro.2017.10.147</w:t>
      </w:r>
    </w:p>
    <w:p w14:paraId="1C0C1C09"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Liu, T., Zhang, Q., Zheng, Z., Wu, S., &amp; Weng, Z. (2022). Stakeholder Analysis of the Waste Electrical and Electronic Equipment Internet Recycling Industry. International journal of environmental research and public health, 19(16), 10003. https://doi.org/10.3390/ijerph191610003</w:t>
      </w:r>
    </w:p>
    <w:p w14:paraId="6216C814"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Long, S., &amp; Freese, J. (n.d.). Regression Models for Categorical Dependent Variables Using Stata.</w:t>
      </w:r>
    </w:p>
    <w:p w14:paraId="1F0697F6"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Lu, C.-F., Cheng, C.-Y., &amp; Hung, Y.-L. (2023). Assessing consumer perceptions of chemical leasing business models and possibilities for adoption by Taiwanese manufacturers. Sustainable Production and Consumption, 35, 325–337. https://doi.org/10.1016/j.spc.2022.11.010</w:t>
      </w:r>
    </w:p>
    <w:p w14:paraId="5B007309"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r>
      <w:proofErr w:type="spellStart"/>
      <w:r w:rsidRPr="00D20CA8">
        <w:rPr>
          <w:rFonts w:asciiTheme="majorBidi" w:hAnsiTheme="majorBidi" w:cstheme="majorBidi"/>
          <w:sz w:val="24"/>
          <w:szCs w:val="24"/>
        </w:rPr>
        <w:t>Mendako</w:t>
      </w:r>
      <w:proofErr w:type="spellEnd"/>
      <w:r w:rsidRPr="00D20CA8">
        <w:rPr>
          <w:rFonts w:asciiTheme="majorBidi" w:hAnsiTheme="majorBidi" w:cstheme="majorBidi"/>
          <w:sz w:val="24"/>
          <w:szCs w:val="24"/>
        </w:rPr>
        <w:t>, R. K., Tian, G., &amp; Matata, P. M. (2022). Identifying Socio-economic Determinants of Households' Forest Dependence in the Rubi-Tele Hunting Domain, DR Congo: A Logistic Regression Analysis. Forests, 13(10), 1706. https://doi.org/10.3390/f13101706</w:t>
      </w:r>
    </w:p>
    <w:p w14:paraId="3B4A02BA"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 xml:space="preserve">Mont, O., </w:t>
      </w:r>
      <w:proofErr w:type="spellStart"/>
      <w:r w:rsidRPr="00D20CA8">
        <w:rPr>
          <w:rFonts w:asciiTheme="majorBidi" w:hAnsiTheme="majorBidi" w:cstheme="majorBidi"/>
          <w:sz w:val="24"/>
          <w:szCs w:val="24"/>
        </w:rPr>
        <w:t>Palgan</w:t>
      </w:r>
      <w:proofErr w:type="spellEnd"/>
      <w:r w:rsidRPr="00D20CA8">
        <w:rPr>
          <w:rFonts w:asciiTheme="majorBidi" w:hAnsiTheme="majorBidi" w:cstheme="majorBidi"/>
          <w:sz w:val="24"/>
          <w:szCs w:val="24"/>
        </w:rPr>
        <w:t xml:space="preserve">, Y. V., Bradley, K., &amp; </w:t>
      </w:r>
      <w:proofErr w:type="spellStart"/>
      <w:r w:rsidRPr="00D20CA8">
        <w:rPr>
          <w:rFonts w:asciiTheme="majorBidi" w:hAnsiTheme="majorBidi" w:cstheme="majorBidi"/>
          <w:sz w:val="24"/>
          <w:szCs w:val="24"/>
        </w:rPr>
        <w:t>Zvolska</w:t>
      </w:r>
      <w:proofErr w:type="spellEnd"/>
      <w:r w:rsidRPr="00D20CA8">
        <w:rPr>
          <w:rFonts w:asciiTheme="majorBidi" w:hAnsiTheme="majorBidi" w:cstheme="majorBidi"/>
          <w:sz w:val="24"/>
          <w:szCs w:val="24"/>
        </w:rPr>
        <w:t xml:space="preserve">, L. (2020). A decade of the sharing economy: Concepts, users, </w:t>
      </w:r>
      <w:proofErr w:type="gramStart"/>
      <w:r w:rsidRPr="00D20CA8">
        <w:rPr>
          <w:rFonts w:asciiTheme="majorBidi" w:hAnsiTheme="majorBidi" w:cstheme="majorBidi"/>
          <w:sz w:val="24"/>
          <w:szCs w:val="24"/>
        </w:rPr>
        <w:t>business</w:t>
      </w:r>
      <w:proofErr w:type="gramEnd"/>
      <w:r w:rsidRPr="00D20CA8">
        <w:rPr>
          <w:rFonts w:asciiTheme="majorBidi" w:hAnsiTheme="majorBidi" w:cstheme="majorBidi"/>
          <w:sz w:val="24"/>
          <w:szCs w:val="24"/>
        </w:rPr>
        <w:t xml:space="preserve"> and governance perspectives. Journal of Cleaner Production, 269, 122215. https://doi.org/10.1016/j.jclepro.2020.122215</w:t>
      </w:r>
    </w:p>
    <w:p w14:paraId="215766F9"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r>
      <w:proofErr w:type="spellStart"/>
      <w:r w:rsidRPr="00D20CA8">
        <w:rPr>
          <w:rFonts w:asciiTheme="majorBidi" w:hAnsiTheme="majorBidi" w:cstheme="majorBidi"/>
          <w:sz w:val="24"/>
          <w:szCs w:val="24"/>
        </w:rPr>
        <w:t>Mostaghel</w:t>
      </w:r>
      <w:proofErr w:type="spellEnd"/>
      <w:r w:rsidRPr="00D20CA8">
        <w:rPr>
          <w:rFonts w:asciiTheme="majorBidi" w:hAnsiTheme="majorBidi" w:cstheme="majorBidi"/>
          <w:sz w:val="24"/>
          <w:szCs w:val="24"/>
        </w:rPr>
        <w:t xml:space="preserve">, R., &amp; </w:t>
      </w:r>
      <w:proofErr w:type="spellStart"/>
      <w:r w:rsidRPr="00D20CA8">
        <w:rPr>
          <w:rFonts w:asciiTheme="majorBidi" w:hAnsiTheme="majorBidi" w:cstheme="majorBidi"/>
          <w:sz w:val="24"/>
          <w:szCs w:val="24"/>
        </w:rPr>
        <w:t>Chirumalla</w:t>
      </w:r>
      <w:proofErr w:type="spellEnd"/>
      <w:r w:rsidRPr="00D20CA8">
        <w:rPr>
          <w:rFonts w:asciiTheme="majorBidi" w:hAnsiTheme="majorBidi" w:cstheme="majorBidi"/>
          <w:sz w:val="24"/>
          <w:szCs w:val="24"/>
        </w:rPr>
        <w:t>, K. (2021). Role of customers in circular business models. Journal of Business Research, 127, 35–44. https://doi.org/10.1016/j.jbusres.2020.12.053</w:t>
      </w:r>
    </w:p>
    <w:p w14:paraId="31162A49"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lastRenderedPageBreak/>
        <w:tab/>
      </w:r>
      <w:proofErr w:type="spellStart"/>
      <w:r w:rsidRPr="00D20CA8">
        <w:rPr>
          <w:rFonts w:asciiTheme="majorBidi" w:hAnsiTheme="majorBidi" w:cstheme="majorBidi"/>
          <w:sz w:val="24"/>
          <w:szCs w:val="24"/>
        </w:rPr>
        <w:t>Piscicelli</w:t>
      </w:r>
      <w:proofErr w:type="spellEnd"/>
      <w:r w:rsidRPr="00D20CA8">
        <w:rPr>
          <w:rFonts w:asciiTheme="majorBidi" w:hAnsiTheme="majorBidi" w:cstheme="majorBidi"/>
          <w:sz w:val="24"/>
          <w:szCs w:val="24"/>
        </w:rPr>
        <w:t xml:space="preserve">, L., &amp; Ludden, G. (2016, June 25). The potential of Design for </w:t>
      </w:r>
      <w:proofErr w:type="spellStart"/>
      <w:r w:rsidRPr="00D20CA8">
        <w:rPr>
          <w:rFonts w:asciiTheme="majorBidi" w:hAnsiTheme="majorBidi" w:cstheme="majorBidi"/>
          <w:sz w:val="24"/>
          <w:szCs w:val="24"/>
        </w:rPr>
        <w:t>Behaviour</w:t>
      </w:r>
      <w:proofErr w:type="spellEnd"/>
      <w:r w:rsidRPr="00D20CA8">
        <w:rPr>
          <w:rFonts w:asciiTheme="majorBidi" w:hAnsiTheme="majorBidi" w:cstheme="majorBidi"/>
          <w:sz w:val="24"/>
          <w:szCs w:val="24"/>
        </w:rPr>
        <w:t xml:space="preserve"> Change to foster the transition to a circular economy. Design Research Society Conference 2016. https://doi.org/10.21606/drs.2016.489</w:t>
      </w:r>
    </w:p>
    <w:p w14:paraId="3A610577"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Qureshi, I., Bhatt, B., &amp; Shukla, D. M. (Eds.). (2021). Sharing Economy at the Base of the Pyramid: Opportunities and Challenges. Springer Nature Singapore. https://doi.org/10.1007/978-981-16-2414-8</w:t>
      </w:r>
    </w:p>
    <w:p w14:paraId="371B82FE"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 xml:space="preserve">Ratner, S., </w:t>
      </w:r>
      <w:proofErr w:type="spellStart"/>
      <w:r w:rsidRPr="00D20CA8">
        <w:rPr>
          <w:rFonts w:asciiTheme="majorBidi" w:hAnsiTheme="majorBidi" w:cstheme="majorBidi"/>
          <w:sz w:val="24"/>
          <w:szCs w:val="24"/>
        </w:rPr>
        <w:t>Lazanyuk</w:t>
      </w:r>
      <w:proofErr w:type="spellEnd"/>
      <w:r w:rsidRPr="00D20CA8">
        <w:rPr>
          <w:rFonts w:asciiTheme="majorBidi" w:hAnsiTheme="majorBidi" w:cstheme="majorBidi"/>
          <w:sz w:val="24"/>
          <w:szCs w:val="24"/>
        </w:rPr>
        <w:t xml:space="preserve">, I., </w:t>
      </w:r>
      <w:proofErr w:type="spellStart"/>
      <w:r w:rsidRPr="00D20CA8">
        <w:rPr>
          <w:rFonts w:asciiTheme="majorBidi" w:hAnsiTheme="majorBidi" w:cstheme="majorBidi"/>
          <w:sz w:val="24"/>
          <w:szCs w:val="24"/>
        </w:rPr>
        <w:t>Revinova</w:t>
      </w:r>
      <w:proofErr w:type="spellEnd"/>
      <w:r w:rsidRPr="00D20CA8">
        <w:rPr>
          <w:rFonts w:asciiTheme="majorBidi" w:hAnsiTheme="majorBidi" w:cstheme="majorBidi"/>
          <w:sz w:val="24"/>
          <w:szCs w:val="24"/>
        </w:rPr>
        <w:t xml:space="preserve">, S., &amp; </w:t>
      </w:r>
      <w:proofErr w:type="spellStart"/>
      <w:r w:rsidRPr="00D20CA8">
        <w:rPr>
          <w:rFonts w:asciiTheme="majorBidi" w:hAnsiTheme="majorBidi" w:cstheme="majorBidi"/>
          <w:sz w:val="24"/>
          <w:szCs w:val="24"/>
        </w:rPr>
        <w:t>Gomonov</w:t>
      </w:r>
      <w:proofErr w:type="spellEnd"/>
      <w:r w:rsidRPr="00D20CA8">
        <w:rPr>
          <w:rFonts w:asciiTheme="majorBidi" w:hAnsiTheme="majorBidi" w:cstheme="majorBidi"/>
          <w:sz w:val="24"/>
          <w:szCs w:val="24"/>
        </w:rPr>
        <w:t>, K. (2021). Barriers of consumer behavior for the development of the circular economy: Empirical evidence from Russia. Applied Sciences (Switzerland), 11(1), 1–28. https://doi.org/10.3390/app11010046</w:t>
      </w:r>
    </w:p>
    <w:p w14:paraId="357D1F2B"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 xml:space="preserve">Russell, J. D., Svensson‐Hoglund, S., Richter, J. L., </w:t>
      </w:r>
      <w:proofErr w:type="spellStart"/>
      <w:r w:rsidRPr="00D20CA8">
        <w:rPr>
          <w:rFonts w:asciiTheme="majorBidi" w:hAnsiTheme="majorBidi" w:cstheme="majorBidi"/>
          <w:sz w:val="24"/>
          <w:szCs w:val="24"/>
        </w:rPr>
        <w:t>Dalhammar</w:t>
      </w:r>
      <w:proofErr w:type="spellEnd"/>
      <w:r w:rsidRPr="00D20CA8">
        <w:rPr>
          <w:rFonts w:asciiTheme="majorBidi" w:hAnsiTheme="majorBidi" w:cstheme="majorBidi"/>
          <w:sz w:val="24"/>
          <w:szCs w:val="24"/>
        </w:rPr>
        <w:t xml:space="preserve">, C., &amp; </w:t>
      </w:r>
      <w:proofErr w:type="spellStart"/>
      <w:r w:rsidRPr="00D20CA8">
        <w:rPr>
          <w:rFonts w:asciiTheme="majorBidi" w:hAnsiTheme="majorBidi" w:cstheme="majorBidi"/>
          <w:sz w:val="24"/>
          <w:szCs w:val="24"/>
        </w:rPr>
        <w:t>Milios</w:t>
      </w:r>
      <w:proofErr w:type="spellEnd"/>
      <w:r w:rsidRPr="00D20CA8">
        <w:rPr>
          <w:rFonts w:asciiTheme="majorBidi" w:hAnsiTheme="majorBidi" w:cstheme="majorBidi"/>
          <w:sz w:val="24"/>
          <w:szCs w:val="24"/>
        </w:rPr>
        <w:t>, L. (2023). A matter of timing: System requirements for repair and their temporal dimensions. Journal of Industrial Ecology, 27(3), 845–855. https://doi.org/10.1111/jiec.13280</w:t>
      </w:r>
    </w:p>
    <w:p w14:paraId="1C2186BF"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Sarath, P., Bonda, S., Mohanty, S., &amp; Nayak, S. K. (2015). Mobile phone waste management and recycling: Views and trends. Waste Management, 46, 536–545. https://doi.org/10.1016/j.wasman.2015.09.013</w:t>
      </w:r>
    </w:p>
    <w:p w14:paraId="4D3B03DC"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 xml:space="preserve">Shaw, D., McMaster, R., &amp; </w:t>
      </w:r>
      <w:proofErr w:type="spellStart"/>
      <w:r w:rsidRPr="00D20CA8">
        <w:rPr>
          <w:rFonts w:asciiTheme="majorBidi" w:hAnsiTheme="majorBidi" w:cstheme="majorBidi"/>
          <w:sz w:val="24"/>
          <w:szCs w:val="24"/>
        </w:rPr>
        <w:t>Newholm</w:t>
      </w:r>
      <w:proofErr w:type="spellEnd"/>
      <w:r w:rsidRPr="00D20CA8">
        <w:rPr>
          <w:rFonts w:asciiTheme="majorBidi" w:hAnsiTheme="majorBidi" w:cstheme="majorBidi"/>
          <w:sz w:val="24"/>
          <w:szCs w:val="24"/>
        </w:rPr>
        <w:t>, T. (2016). Care and Commitment in Ethical Consumption: An Exploration of the 'Attitude–</w:t>
      </w:r>
      <w:proofErr w:type="spellStart"/>
      <w:r w:rsidRPr="00D20CA8">
        <w:rPr>
          <w:rFonts w:asciiTheme="majorBidi" w:hAnsiTheme="majorBidi" w:cstheme="majorBidi"/>
          <w:sz w:val="24"/>
          <w:szCs w:val="24"/>
        </w:rPr>
        <w:t>Behaviour</w:t>
      </w:r>
      <w:proofErr w:type="spellEnd"/>
      <w:r w:rsidRPr="00D20CA8">
        <w:rPr>
          <w:rFonts w:asciiTheme="majorBidi" w:hAnsiTheme="majorBidi" w:cstheme="majorBidi"/>
          <w:sz w:val="24"/>
          <w:szCs w:val="24"/>
        </w:rPr>
        <w:t xml:space="preserve"> Gap.' Journal of Business Ethics, 136(2), 251–265. https://doi.org/10.1007/s10551-014-2442-y</w:t>
      </w:r>
    </w:p>
    <w:p w14:paraId="6C0FEAC8"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 xml:space="preserve">Stofberg, N., </w:t>
      </w:r>
      <w:proofErr w:type="spellStart"/>
      <w:r w:rsidRPr="00D20CA8">
        <w:rPr>
          <w:rFonts w:asciiTheme="majorBidi" w:hAnsiTheme="majorBidi" w:cstheme="majorBidi"/>
          <w:sz w:val="24"/>
          <w:szCs w:val="24"/>
        </w:rPr>
        <w:t>Bridoux</w:t>
      </w:r>
      <w:proofErr w:type="spellEnd"/>
      <w:r w:rsidRPr="00D20CA8">
        <w:rPr>
          <w:rFonts w:asciiTheme="majorBidi" w:hAnsiTheme="majorBidi" w:cstheme="majorBidi"/>
          <w:sz w:val="24"/>
          <w:szCs w:val="24"/>
        </w:rPr>
        <w:t xml:space="preserve">, F., </w:t>
      </w:r>
      <w:proofErr w:type="spellStart"/>
      <w:r w:rsidRPr="00D20CA8">
        <w:rPr>
          <w:rFonts w:asciiTheme="majorBidi" w:hAnsiTheme="majorBidi" w:cstheme="majorBidi"/>
          <w:sz w:val="24"/>
          <w:szCs w:val="24"/>
        </w:rPr>
        <w:t>Ciulli</w:t>
      </w:r>
      <w:proofErr w:type="spellEnd"/>
      <w:r w:rsidRPr="00D20CA8">
        <w:rPr>
          <w:rFonts w:asciiTheme="majorBidi" w:hAnsiTheme="majorBidi" w:cstheme="majorBidi"/>
          <w:sz w:val="24"/>
          <w:szCs w:val="24"/>
        </w:rPr>
        <w:t>, F., Pisani, N., Kolk, A., &amp; Vock, M. (2021). A Relational‐Models View to Explain Peer‐to‐Peer Sharing. Journal of Management Studies, 58(4), 1033–1069. https://doi.org/10.1111/joms.12523</w:t>
      </w:r>
    </w:p>
    <w:p w14:paraId="39AEEF05"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r>
      <w:proofErr w:type="spellStart"/>
      <w:r w:rsidRPr="00D20CA8">
        <w:rPr>
          <w:rFonts w:asciiTheme="majorBidi" w:hAnsiTheme="majorBidi" w:cstheme="majorBidi"/>
          <w:sz w:val="24"/>
          <w:szCs w:val="24"/>
        </w:rPr>
        <w:t>Terzioğlu</w:t>
      </w:r>
      <w:proofErr w:type="spellEnd"/>
      <w:r w:rsidRPr="00D20CA8">
        <w:rPr>
          <w:rFonts w:asciiTheme="majorBidi" w:hAnsiTheme="majorBidi" w:cstheme="majorBidi"/>
          <w:sz w:val="24"/>
          <w:szCs w:val="24"/>
        </w:rPr>
        <w:t>, N. (2021). Repair motivation and barriers model: Investigating user perspectives related to product repair towards a circular economy. Journal of Cleaner Production, 289, 125644. https://doi.org/10.1016/j.jclepro.2020.125644</w:t>
      </w:r>
    </w:p>
    <w:p w14:paraId="0714701B"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 xml:space="preserve">Vidal-Ayuso, F., Akhmedova, A., &amp; Jaca, C. (2023). The circular economy and consumer </w:t>
      </w:r>
      <w:proofErr w:type="spellStart"/>
      <w:r w:rsidRPr="00D20CA8">
        <w:rPr>
          <w:rFonts w:asciiTheme="majorBidi" w:hAnsiTheme="majorBidi" w:cstheme="majorBidi"/>
          <w:sz w:val="24"/>
          <w:szCs w:val="24"/>
        </w:rPr>
        <w:t>behaviour</w:t>
      </w:r>
      <w:proofErr w:type="spellEnd"/>
      <w:r w:rsidRPr="00D20CA8">
        <w:rPr>
          <w:rFonts w:asciiTheme="majorBidi" w:hAnsiTheme="majorBidi" w:cstheme="majorBidi"/>
          <w:sz w:val="24"/>
          <w:szCs w:val="24"/>
        </w:rPr>
        <w:t>: Literature review and research directions. Journal of Cleaner Production, 418, 137824. https://doi.org/10.1016/j.jclepro.2023.137824</w:t>
      </w:r>
    </w:p>
    <w:p w14:paraId="361D74C1"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Wang, Y., &amp; Hazen, B. T. (2016). Consumer product knowledge and intention to purchase remanufactured products. International Journal of Production Economics, 181, 460–469. https://doi.org/10.1016/j.ijpe.2015.08.031</w:t>
      </w:r>
    </w:p>
    <w:p w14:paraId="2314EBC1" w14:textId="77777777" w:rsidR="00900A0E" w:rsidRPr="00D20CA8" w:rsidRDefault="00900A0E" w:rsidP="00382510">
      <w:pPr>
        <w:rPr>
          <w:rFonts w:asciiTheme="majorBidi" w:hAnsiTheme="majorBidi" w:cstheme="majorBidi"/>
          <w:sz w:val="24"/>
          <w:szCs w:val="24"/>
        </w:rPr>
      </w:pPr>
      <w:r w:rsidRPr="00D20CA8">
        <w:rPr>
          <w:rFonts w:asciiTheme="majorBidi" w:hAnsiTheme="majorBidi" w:cstheme="majorBidi"/>
          <w:sz w:val="24"/>
          <w:szCs w:val="24"/>
        </w:rPr>
        <w:tab/>
        <w:t>Zhang, M., Fan, Y., Chen, C., Cao, J., &amp; Pu, H. (2021). Consumer perception, mandatory labeling, and traceability of GM soybean oil: Evidence from Chinese urban consumers. GM Crops &amp; Food, 12(1), 36–46. https://doi.org/10.1080/21645698.2020.1807852</w:t>
      </w:r>
    </w:p>
    <w:sectPr w:rsidR="00900A0E" w:rsidRPr="00D20C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4268D" w14:textId="77777777" w:rsidR="002A338F" w:rsidRDefault="002A338F" w:rsidP="00900A0E">
      <w:pPr>
        <w:spacing w:after="0" w:line="240" w:lineRule="auto"/>
      </w:pPr>
      <w:r>
        <w:separator/>
      </w:r>
    </w:p>
  </w:endnote>
  <w:endnote w:type="continuationSeparator" w:id="0">
    <w:p w14:paraId="3747A03D" w14:textId="77777777" w:rsidR="002A338F" w:rsidRDefault="002A338F" w:rsidP="00900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E633C" w14:textId="77777777" w:rsidR="002A338F" w:rsidRDefault="002A338F" w:rsidP="00900A0E">
      <w:pPr>
        <w:spacing w:after="0" w:line="240" w:lineRule="auto"/>
      </w:pPr>
      <w:r>
        <w:separator/>
      </w:r>
    </w:p>
  </w:footnote>
  <w:footnote w:type="continuationSeparator" w:id="0">
    <w:p w14:paraId="6D84E31C" w14:textId="77777777" w:rsidR="002A338F" w:rsidRDefault="002A338F" w:rsidP="00900A0E">
      <w:pPr>
        <w:spacing w:after="0" w:line="240" w:lineRule="auto"/>
      </w:pPr>
      <w:r>
        <w:continuationSeparator/>
      </w:r>
    </w:p>
  </w:footnote>
  <w:footnote w:id="1">
    <w:p w14:paraId="0D12E790" w14:textId="77777777" w:rsidR="00622118" w:rsidRPr="005849ED" w:rsidRDefault="00622118" w:rsidP="00622118">
      <w:pPr>
        <w:pStyle w:val="FootnoteText"/>
      </w:pPr>
      <w:r>
        <w:rPr>
          <w:rStyle w:val="FootnoteReference"/>
        </w:rPr>
        <w:footnoteRef/>
      </w:r>
      <w:r>
        <w:t xml:space="preserve"> Professor and Coordinator PhD Islamic Finance and Economy Program, College of Islamic Studies, Hamad Bin Khalifa University, Qatar</w:t>
      </w:r>
    </w:p>
  </w:footnote>
  <w:footnote w:id="2">
    <w:p w14:paraId="294A4692" w14:textId="77777777" w:rsidR="00622118" w:rsidRPr="00A05519" w:rsidRDefault="00622118" w:rsidP="00622118">
      <w:pPr>
        <w:pStyle w:val="FootnoteText"/>
      </w:pPr>
      <w:r>
        <w:rPr>
          <w:rStyle w:val="FootnoteReference"/>
        </w:rPr>
        <w:footnoteRef/>
      </w:r>
      <w:r>
        <w:t xml:space="preserve"> Director, </w:t>
      </w:r>
      <w:proofErr w:type="spellStart"/>
      <w:r>
        <w:t>Center</w:t>
      </w:r>
      <w:proofErr w:type="spellEnd"/>
      <w:r>
        <w:t xml:space="preserve"> for Islamic Economics and Finance, College of Islamic Studies, Hamad Bin Khalifa University, Qatar</w:t>
      </w:r>
    </w:p>
  </w:footnote>
  <w:footnote w:id="3">
    <w:p w14:paraId="21821EEA" w14:textId="77777777" w:rsidR="00622118" w:rsidRPr="00A05519" w:rsidRDefault="00622118" w:rsidP="00622118">
      <w:pPr>
        <w:pStyle w:val="FootnoteText"/>
      </w:pPr>
      <w:r>
        <w:rPr>
          <w:rStyle w:val="FootnoteReference"/>
        </w:rPr>
        <w:footnoteRef/>
      </w:r>
      <w:r>
        <w:t xml:space="preserve"> Research Consultant, College of Islamic </w:t>
      </w:r>
      <w:proofErr w:type="spellStart"/>
      <w:proofErr w:type="gramStart"/>
      <w:r>
        <w:t>Studies,Hamad</w:t>
      </w:r>
      <w:proofErr w:type="spellEnd"/>
      <w:proofErr w:type="gramEnd"/>
      <w:r>
        <w:t xml:space="preserve"> Bin Khalifa University, Qatar</w:t>
      </w:r>
    </w:p>
  </w:footnote>
  <w:footnote w:id="4">
    <w:p w14:paraId="7609414C" w14:textId="26D9AFB7" w:rsidR="00732372" w:rsidRPr="00732372" w:rsidRDefault="00732372">
      <w:pPr>
        <w:pStyle w:val="FootnoteText"/>
        <w:rPr>
          <w:lang w:val="en-US"/>
        </w:rPr>
      </w:pPr>
      <w:r>
        <w:rPr>
          <w:rStyle w:val="FootnoteReference"/>
        </w:rPr>
        <w:footnoteRef/>
      </w:r>
      <w:r>
        <w:t xml:space="preserve"> </w:t>
      </w:r>
      <w:hyperlink r:id="rId1" w:anchor=":~:text=The%20circular%20economy%20is%20a,remanufacture%2C%20recycling%2C%20and%20composting" w:history="1">
        <w:r w:rsidRPr="00E92385">
          <w:rPr>
            <w:rStyle w:val="Hyperlink"/>
          </w:rPr>
          <w:t>https://ellenmacarthurfoundation.org/topics/circular-economy-introduction/overview#:~:text=The%20circular%20economy%20is%20a,remanufacture%2C%20recycling%2C%20and%20composting</w:t>
        </w:r>
      </w:hyperlink>
      <w:r w:rsidRPr="00BF2B7B">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25048"/>
    <w:multiLevelType w:val="hybridMultilevel"/>
    <w:tmpl w:val="07665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A3BFD"/>
    <w:multiLevelType w:val="hybridMultilevel"/>
    <w:tmpl w:val="3BEAE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240A2"/>
    <w:multiLevelType w:val="hybridMultilevel"/>
    <w:tmpl w:val="B5F61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E19F7"/>
    <w:multiLevelType w:val="hybridMultilevel"/>
    <w:tmpl w:val="7B6A0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C068B"/>
    <w:multiLevelType w:val="hybridMultilevel"/>
    <w:tmpl w:val="8A344E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36B57"/>
    <w:multiLevelType w:val="multilevel"/>
    <w:tmpl w:val="2AC07EC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35F290E"/>
    <w:multiLevelType w:val="hybridMultilevel"/>
    <w:tmpl w:val="9468C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6851D4"/>
    <w:multiLevelType w:val="hybridMultilevel"/>
    <w:tmpl w:val="0EEE46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860916">
    <w:abstractNumId w:val="0"/>
  </w:num>
  <w:num w:numId="2" w16cid:durableId="1956599053">
    <w:abstractNumId w:val="3"/>
  </w:num>
  <w:num w:numId="3" w16cid:durableId="441997281">
    <w:abstractNumId w:val="5"/>
  </w:num>
  <w:num w:numId="4" w16cid:durableId="275336455">
    <w:abstractNumId w:val="6"/>
  </w:num>
  <w:num w:numId="5" w16cid:durableId="1456874902">
    <w:abstractNumId w:val="1"/>
  </w:num>
  <w:num w:numId="6" w16cid:durableId="461583720">
    <w:abstractNumId w:val="2"/>
  </w:num>
  <w:num w:numId="7" w16cid:durableId="237254724">
    <w:abstractNumId w:val="7"/>
  </w:num>
  <w:num w:numId="8" w16cid:durableId="14194502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M2tjAytjCwMLcwMTFU0lEKTi0uzszPAykwrgUA/UNyCywAAAA="/>
  </w:docVars>
  <w:rsids>
    <w:rsidRoot w:val="00900A0E"/>
    <w:rsid w:val="000306E6"/>
    <w:rsid w:val="000D092D"/>
    <w:rsid w:val="002529D3"/>
    <w:rsid w:val="002A338F"/>
    <w:rsid w:val="002C7B5C"/>
    <w:rsid w:val="00382510"/>
    <w:rsid w:val="00405C79"/>
    <w:rsid w:val="004E7C6B"/>
    <w:rsid w:val="005C0E20"/>
    <w:rsid w:val="00622118"/>
    <w:rsid w:val="00732372"/>
    <w:rsid w:val="0085638A"/>
    <w:rsid w:val="00900A0E"/>
    <w:rsid w:val="00A31EB9"/>
    <w:rsid w:val="00A928D4"/>
    <w:rsid w:val="00CB3B92"/>
    <w:rsid w:val="00D20CA8"/>
    <w:rsid w:val="00D306C9"/>
    <w:rsid w:val="00E15DF5"/>
    <w:rsid w:val="00E21143"/>
    <w:rsid w:val="00EC5CA4"/>
    <w:rsid w:val="00F1307F"/>
    <w:rsid w:val="00F21499"/>
    <w:rsid w:val="00F3717D"/>
    <w:rsid w:val="00F436A1"/>
    <w:rsid w:val="00F9518B"/>
    <w:rsid w:val="00FA6243"/>
    <w:rsid w:val="00FC39FE"/>
    <w:rsid w:val="00FC3E14"/>
    <w:rsid w:val="00FE4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419A"/>
  <w15:chartTrackingRefBased/>
  <w15:docId w15:val="{EEDE5E89-BA30-42B4-875A-1CD77266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0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A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0A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A0E"/>
    <w:rPr>
      <w:rFonts w:eastAsiaTheme="majorEastAsia" w:cstheme="majorBidi"/>
      <w:color w:val="272727" w:themeColor="text1" w:themeTint="D8"/>
    </w:rPr>
  </w:style>
  <w:style w:type="paragraph" w:styleId="Title">
    <w:name w:val="Title"/>
    <w:basedOn w:val="Normal"/>
    <w:next w:val="Normal"/>
    <w:link w:val="TitleChar"/>
    <w:uiPriority w:val="10"/>
    <w:qFormat/>
    <w:rsid w:val="00900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A0E"/>
    <w:pPr>
      <w:spacing w:before="160"/>
      <w:jc w:val="center"/>
    </w:pPr>
    <w:rPr>
      <w:i/>
      <w:iCs/>
      <w:color w:val="404040" w:themeColor="text1" w:themeTint="BF"/>
    </w:rPr>
  </w:style>
  <w:style w:type="character" w:customStyle="1" w:styleId="QuoteChar">
    <w:name w:val="Quote Char"/>
    <w:basedOn w:val="DefaultParagraphFont"/>
    <w:link w:val="Quote"/>
    <w:uiPriority w:val="29"/>
    <w:rsid w:val="00900A0E"/>
    <w:rPr>
      <w:i/>
      <w:iCs/>
      <w:color w:val="404040" w:themeColor="text1" w:themeTint="BF"/>
    </w:rPr>
  </w:style>
  <w:style w:type="paragraph" w:styleId="ListParagraph">
    <w:name w:val="List Paragraph"/>
    <w:basedOn w:val="Normal"/>
    <w:uiPriority w:val="34"/>
    <w:qFormat/>
    <w:rsid w:val="00900A0E"/>
    <w:pPr>
      <w:ind w:left="720"/>
      <w:contextualSpacing/>
    </w:pPr>
  </w:style>
  <w:style w:type="character" w:styleId="IntenseEmphasis">
    <w:name w:val="Intense Emphasis"/>
    <w:basedOn w:val="DefaultParagraphFont"/>
    <w:uiPriority w:val="21"/>
    <w:qFormat/>
    <w:rsid w:val="00900A0E"/>
    <w:rPr>
      <w:i/>
      <w:iCs/>
      <w:color w:val="0F4761" w:themeColor="accent1" w:themeShade="BF"/>
    </w:rPr>
  </w:style>
  <w:style w:type="paragraph" w:styleId="IntenseQuote">
    <w:name w:val="Intense Quote"/>
    <w:basedOn w:val="Normal"/>
    <w:next w:val="Normal"/>
    <w:link w:val="IntenseQuoteChar"/>
    <w:uiPriority w:val="30"/>
    <w:qFormat/>
    <w:rsid w:val="00900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A0E"/>
    <w:rPr>
      <w:i/>
      <w:iCs/>
      <w:color w:val="0F4761" w:themeColor="accent1" w:themeShade="BF"/>
    </w:rPr>
  </w:style>
  <w:style w:type="character" w:styleId="IntenseReference">
    <w:name w:val="Intense Reference"/>
    <w:basedOn w:val="DefaultParagraphFont"/>
    <w:uiPriority w:val="32"/>
    <w:qFormat/>
    <w:rsid w:val="00900A0E"/>
    <w:rPr>
      <w:b/>
      <w:bCs/>
      <w:smallCaps/>
      <w:color w:val="0F4761" w:themeColor="accent1" w:themeShade="BF"/>
      <w:spacing w:val="5"/>
    </w:rPr>
  </w:style>
  <w:style w:type="table" w:styleId="PlainTable4">
    <w:name w:val="Plain Table 4"/>
    <w:basedOn w:val="TableNormal"/>
    <w:uiPriority w:val="44"/>
    <w:rsid w:val="00405C7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05C79"/>
    <w:pPr>
      <w:spacing w:after="0" w:line="240" w:lineRule="auto"/>
    </w:pPr>
    <w:rPr>
      <w:rFonts w:ascii="Calibri" w:eastAsia="Calibri" w:hAnsi="Calibri" w:cs="Calibri"/>
      <w:kern w:val="0"/>
      <w:lang w:val="en-GB"/>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05C79"/>
    <w:pPr>
      <w:spacing w:after="0" w:line="240" w:lineRule="auto"/>
    </w:pPr>
    <w:rPr>
      <w:rFonts w:ascii="Calibri" w:eastAsia="Calibri" w:hAnsi="Calibri" w:cs="Calibri"/>
      <w:kern w:val="0"/>
      <w:lang w:val="en-GB"/>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405C79"/>
    <w:pPr>
      <w:spacing w:after="0" w:line="240" w:lineRule="auto"/>
    </w:pPr>
    <w:rPr>
      <w:rFonts w:ascii="Calibri" w:eastAsia="Calibri" w:hAnsi="Calibri" w:cs="Calibri"/>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3">
    <w:name w:val="List Table 6 Colorful Accent 3"/>
    <w:basedOn w:val="TableNormal"/>
    <w:uiPriority w:val="51"/>
    <w:rsid w:val="00405C79"/>
    <w:pPr>
      <w:spacing w:after="0" w:line="240" w:lineRule="auto"/>
    </w:pPr>
    <w:rPr>
      <w:color w:val="124F1A" w:themeColor="accent3" w:themeShade="BF"/>
      <w:kern w:val="0"/>
      <w14:ligatures w14:val="none"/>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FootnoteText">
    <w:name w:val="footnote text"/>
    <w:basedOn w:val="Normal"/>
    <w:link w:val="FootnoteTextChar"/>
    <w:uiPriority w:val="99"/>
    <w:unhideWhenUsed/>
    <w:rsid w:val="00622118"/>
    <w:pPr>
      <w:spacing w:after="0" w:line="240" w:lineRule="auto"/>
    </w:pPr>
    <w:rPr>
      <w:rFonts w:ascii="Calibri" w:eastAsia="Calibri" w:hAnsi="Calibri" w:cs="Calibri"/>
      <w:kern w:val="0"/>
      <w:sz w:val="20"/>
      <w:szCs w:val="20"/>
      <w:lang w:val="en-GB"/>
      <w14:ligatures w14:val="none"/>
    </w:rPr>
  </w:style>
  <w:style w:type="character" w:customStyle="1" w:styleId="FootnoteTextChar">
    <w:name w:val="Footnote Text Char"/>
    <w:basedOn w:val="DefaultParagraphFont"/>
    <w:link w:val="FootnoteText"/>
    <w:uiPriority w:val="99"/>
    <w:rsid w:val="00622118"/>
    <w:rPr>
      <w:rFonts w:ascii="Calibri" w:eastAsia="Calibri" w:hAnsi="Calibri" w:cs="Calibri"/>
      <w:kern w:val="0"/>
      <w:sz w:val="20"/>
      <w:szCs w:val="20"/>
      <w:lang w:val="en-GB"/>
      <w14:ligatures w14:val="none"/>
    </w:rPr>
  </w:style>
  <w:style w:type="character" w:styleId="FootnoteReference">
    <w:name w:val="footnote reference"/>
    <w:basedOn w:val="DefaultParagraphFont"/>
    <w:uiPriority w:val="99"/>
    <w:semiHidden/>
    <w:unhideWhenUsed/>
    <w:rsid w:val="00622118"/>
    <w:rPr>
      <w:vertAlign w:val="superscript"/>
    </w:rPr>
  </w:style>
  <w:style w:type="character" w:styleId="Hyperlink">
    <w:name w:val="Hyperlink"/>
    <w:basedOn w:val="DefaultParagraphFont"/>
    <w:uiPriority w:val="99"/>
    <w:rsid w:val="00732372"/>
    <w:rPr>
      <w:color w:val="0000FF"/>
      <w:u w:val="single"/>
    </w:rPr>
  </w:style>
  <w:style w:type="character" w:styleId="UnresolvedMention">
    <w:name w:val="Unresolved Mention"/>
    <w:basedOn w:val="DefaultParagraphFont"/>
    <w:uiPriority w:val="99"/>
    <w:semiHidden/>
    <w:unhideWhenUsed/>
    <w:rsid w:val="00FE4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29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hrazi@hbku.edu.q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mberbushra1@gmail.com" TargetMode="External"/><Relationship Id="rId4" Type="http://schemas.openxmlformats.org/officeDocument/2006/relationships/settings" Target="settings.xml"/><Relationship Id="rId9" Type="http://schemas.openxmlformats.org/officeDocument/2006/relationships/hyperlink" Target="mailto:snali@hbku.edu.q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llenmacarthurfoundation.org/topics/circular-economy-introductio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135BD-1717-4564-9A0D-47912FFD0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22</Pages>
  <Words>8792</Words>
  <Characters>50118</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Nasim S. Shirazi</dc:creator>
  <cp:keywords/>
  <dc:description/>
  <cp:lastModifiedBy>Dr. Syed Nazim Ali</cp:lastModifiedBy>
  <cp:revision>2</cp:revision>
  <dcterms:created xsi:type="dcterms:W3CDTF">2024-03-31T11:29:00Z</dcterms:created>
  <dcterms:modified xsi:type="dcterms:W3CDTF">2024-03-31T11:29:00Z</dcterms:modified>
</cp:coreProperties>
</file>