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30D4A" w14:textId="38B3E3C9" w:rsidR="009355C0" w:rsidRPr="001270F1" w:rsidRDefault="009355C0" w:rsidP="00665090">
      <w:pPr>
        <w:snapToGrid w:val="0"/>
        <w:spacing w:before="120" w:after="120"/>
        <w:jc w:val="center"/>
        <w:rPr>
          <w:rFonts w:ascii="Calibri" w:hAnsi="Calibri" w:cs="Calibri"/>
          <w:b/>
          <w:bCs/>
          <w:color w:val="000000" w:themeColor="text1"/>
          <w:sz w:val="32"/>
          <w:szCs w:val="32"/>
          <w:lang w:eastAsia="it-IT"/>
        </w:rPr>
      </w:pPr>
      <w:r w:rsidRPr="001270F1">
        <w:rPr>
          <w:rFonts w:ascii="Calibri" w:hAnsi="Calibri" w:cs="Calibri"/>
          <w:b/>
          <w:bCs/>
          <w:color w:val="000000" w:themeColor="text1"/>
          <w:sz w:val="32"/>
          <w:szCs w:val="32"/>
          <w:lang w:eastAsia="it-IT"/>
        </w:rPr>
        <w:t>“Islamic Social Finance”</w:t>
      </w:r>
      <w:r w:rsidR="00F01107" w:rsidRPr="001270F1">
        <w:rPr>
          <w:rFonts w:ascii="Calibri" w:hAnsi="Calibri" w:cs="Calibri"/>
          <w:b/>
          <w:bCs/>
          <w:color w:val="000000" w:themeColor="text1"/>
          <w:sz w:val="32"/>
          <w:szCs w:val="32"/>
          <w:lang w:eastAsia="it-IT"/>
        </w:rPr>
        <w:br/>
      </w:r>
      <w:r w:rsidR="009A7823" w:rsidRPr="001270F1">
        <w:rPr>
          <w:rFonts w:ascii="Calibri" w:hAnsi="Calibri" w:cs="Calibri"/>
          <w:b/>
          <w:bCs/>
          <w:color w:val="000000" w:themeColor="text1"/>
          <w:sz w:val="32"/>
          <w:szCs w:val="32"/>
          <w:lang w:eastAsia="it-IT"/>
        </w:rPr>
        <w:t>and</w:t>
      </w:r>
      <w:r w:rsidRPr="001270F1">
        <w:rPr>
          <w:rFonts w:ascii="Calibri" w:hAnsi="Calibri" w:cs="Calibri"/>
          <w:b/>
          <w:bCs/>
          <w:color w:val="000000" w:themeColor="text1"/>
          <w:sz w:val="32"/>
          <w:szCs w:val="32"/>
          <w:lang w:eastAsia="it-IT"/>
        </w:rPr>
        <w:t xml:space="preserve"> UN Sustainable Development Goals Education (SDGED)</w:t>
      </w:r>
    </w:p>
    <w:p w14:paraId="3C71028F" w14:textId="77777777" w:rsidR="009355C0" w:rsidRPr="001270F1" w:rsidRDefault="009355C0" w:rsidP="00665090">
      <w:pPr>
        <w:snapToGrid w:val="0"/>
        <w:spacing w:before="120" w:after="120"/>
        <w:rPr>
          <w:rFonts w:ascii="Calibri" w:hAnsi="Calibri" w:cs="Calibri"/>
          <w:color w:val="000000" w:themeColor="text1"/>
          <w:lang w:eastAsia="it-IT"/>
        </w:rPr>
      </w:pPr>
    </w:p>
    <w:p w14:paraId="3BFBF464" w14:textId="3B04F50D" w:rsidR="00F01107" w:rsidRPr="001270F1" w:rsidRDefault="009355C0" w:rsidP="00665090">
      <w:pPr>
        <w:snapToGrid w:val="0"/>
        <w:spacing w:before="120" w:after="120"/>
        <w:jc w:val="center"/>
        <w:rPr>
          <w:rFonts w:ascii="Calibri" w:hAnsi="Calibri" w:cs="Calibri"/>
          <w:i/>
          <w:iCs/>
          <w:color w:val="000000" w:themeColor="text1"/>
          <w:lang w:eastAsia="it-IT"/>
        </w:rPr>
      </w:pPr>
      <w:r w:rsidRPr="001270F1">
        <w:rPr>
          <w:rFonts w:ascii="Calibri" w:hAnsi="Calibri" w:cs="Calibri"/>
          <w:b/>
          <w:bCs/>
          <w:color w:val="000000" w:themeColor="text1"/>
          <w:sz w:val="28"/>
          <w:szCs w:val="28"/>
          <w:lang w:eastAsia="it-IT"/>
        </w:rPr>
        <w:t>M. Evren Tok</w:t>
      </w:r>
      <w:r w:rsidR="00F01107" w:rsidRPr="001270F1">
        <w:rPr>
          <w:rFonts w:ascii="Calibri" w:hAnsi="Calibri" w:cs="Calibri"/>
          <w:b/>
          <w:bCs/>
          <w:color w:val="000000" w:themeColor="text1"/>
          <w:sz w:val="28"/>
          <w:szCs w:val="28"/>
          <w:lang w:eastAsia="it-IT"/>
        </w:rPr>
        <w:br/>
      </w:r>
      <w:r w:rsidR="00F01107" w:rsidRPr="00764728">
        <w:rPr>
          <w:rFonts w:ascii="Calibri" w:hAnsi="Calibri" w:cs="Calibri"/>
          <w:i/>
          <w:iCs/>
          <w:color w:val="000000" w:themeColor="text1"/>
          <w:sz w:val="20"/>
          <w:szCs w:val="20"/>
          <w:lang w:eastAsia="it-IT"/>
        </w:rPr>
        <w:t>Associate Professor, College of Islamic Studies, Hamad Bin Khalifa University</w:t>
      </w:r>
    </w:p>
    <w:p w14:paraId="47C3A52D" w14:textId="77777777" w:rsidR="001C5650" w:rsidRPr="001270F1" w:rsidRDefault="001C5650" w:rsidP="00665090">
      <w:pPr>
        <w:snapToGrid w:val="0"/>
        <w:spacing w:before="120" w:after="120"/>
        <w:jc w:val="center"/>
        <w:rPr>
          <w:rFonts w:ascii="Calibri" w:hAnsi="Calibri" w:cs="Calibri"/>
          <w:i/>
          <w:iCs/>
          <w:color w:val="000000" w:themeColor="text1"/>
          <w:lang w:eastAsia="it-IT"/>
        </w:rPr>
      </w:pPr>
      <w:r w:rsidRPr="001270F1">
        <w:rPr>
          <w:rFonts w:ascii="Calibri" w:hAnsi="Calibri" w:cs="Calibri"/>
          <w:b/>
          <w:bCs/>
          <w:color w:val="000000" w:themeColor="text1"/>
          <w:sz w:val="28"/>
          <w:szCs w:val="28"/>
          <w:lang w:eastAsia="it-IT"/>
        </w:rPr>
        <w:t>Zul Hakim Jumat</w:t>
      </w:r>
      <w:r w:rsidRPr="001270F1">
        <w:rPr>
          <w:rFonts w:ascii="Calibri" w:hAnsi="Calibri" w:cs="Calibri"/>
          <w:b/>
          <w:bCs/>
          <w:color w:val="000000" w:themeColor="text1"/>
          <w:sz w:val="28"/>
          <w:szCs w:val="28"/>
          <w:lang w:eastAsia="it-IT"/>
        </w:rPr>
        <w:br/>
      </w:r>
      <w:r w:rsidRPr="00764728">
        <w:rPr>
          <w:rFonts w:ascii="Calibri" w:hAnsi="Calibri" w:cs="Calibri"/>
          <w:i/>
          <w:iCs/>
          <w:color w:val="000000" w:themeColor="text1"/>
          <w:sz w:val="20"/>
          <w:szCs w:val="20"/>
          <w:lang w:eastAsia="it-IT"/>
        </w:rPr>
        <w:t>Researcher, Center for Islamic Economics and Finance</w:t>
      </w:r>
      <w:r w:rsidRPr="00764728">
        <w:rPr>
          <w:rFonts w:ascii="Calibri" w:hAnsi="Calibri" w:cs="Calibri"/>
          <w:i/>
          <w:iCs/>
          <w:color w:val="000000" w:themeColor="text1"/>
          <w:sz w:val="20"/>
          <w:szCs w:val="20"/>
          <w:lang w:eastAsia="it-IT"/>
        </w:rPr>
        <w:br/>
        <w:t xml:space="preserve"> College of Islamic Studies, Hamad Bin Khalifa University</w:t>
      </w:r>
    </w:p>
    <w:p w14:paraId="680E7597" w14:textId="5EF7D0B0" w:rsidR="00F01107" w:rsidRPr="001270F1" w:rsidRDefault="009355C0" w:rsidP="00665090">
      <w:pPr>
        <w:snapToGrid w:val="0"/>
        <w:spacing w:before="120" w:after="120"/>
        <w:jc w:val="center"/>
        <w:rPr>
          <w:rFonts w:ascii="Calibri" w:hAnsi="Calibri" w:cs="Calibri"/>
          <w:i/>
          <w:iCs/>
          <w:color w:val="000000" w:themeColor="text1"/>
          <w:lang w:eastAsia="it-IT"/>
        </w:rPr>
      </w:pPr>
      <w:r w:rsidRPr="001270F1">
        <w:rPr>
          <w:rFonts w:ascii="Calibri" w:hAnsi="Calibri" w:cs="Calibri"/>
          <w:b/>
          <w:bCs/>
          <w:color w:val="000000" w:themeColor="text1"/>
          <w:sz w:val="28"/>
          <w:szCs w:val="28"/>
          <w:lang w:eastAsia="it-IT"/>
        </w:rPr>
        <w:t>Syed Nazim Ali</w:t>
      </w:r>
      <w:r w:rsidR="00F01107" w:rsidRPr="001270F1">
        <w:rPr>
          <w:rFonts w:ascii="Calibri" w:hAnsi="Calibri" w:cs="Calibri"/>
          <w:b/>
          <w:bCs/>
          <w:color w:val="000000" w:themeColor="text1"/>
          <w:sz w:val="28"/>
          <w:szCs w:val="28"/>
          <w:lang w:eastAsia="it-IT"/>
        </w:rPr>
        <w:br/>
      </w:r>
      <w:r w:rsidR="00F01107" w:rsidRPr="00764728">
        <w:rPr>
          <w:rFonts w:ascii="Calibri" w:hAnsi="Calibri" w:cs="Calibri"/>
          <w:i/>
          <w:iCs/>
          <w:color w:val="000000" w:themeColor="text1"/>
          <w:sz w:val="20"/>
          <w:szCs w:val="20"/>
          <w:lang w:eastAsia="it-IT"/>
        </w:rPr>
        <w:t>Director, Research Division, College of Islamic Studies</w:t>
      </w:r>
      <w:r w:rsidR="00764728">
        <w:rPr>
          <w:rFonts w:ascii="Calibri" w:hAnsi="Calibri" w:cs="Calibri"/>
          <w:i/>
          <w:iCs/>
          <w:color w:val="000000" w:themeColor="text1"/>
          <w:sz w:val="20"/>
          <w:szCs w:val="20"/>
          <w:lang w:eastAsia="it-IT"/>
        </w:rPr>
        <w:t xml:space="preserve">, </w:t>
      </w:r>
      <w:r w:rsidR="00F01107" w:rsidRPr="00764728">
        <w:rPr>
          <w:rFonts w:ascii="Calibri" w:hAnsi="Calibri" w:cs="Calibri"/>
          <w:i/>
          <w:iCs/>
          <w:color w:val="000000" w:themeColor="text1"/>
          <w:sz w:val="20"/>
          <w:szCs w:val="20"/>
          <w:lang w:eastAsia="it-IT"/>
        </w:rPr>
        <w:t>Hamad Bin Khalifa University</w:t>
      </w:r>
    </w:p>
    <w:p w14:paraId="609BBE0D" w14:textId="2CAAAB31" w:rsidR="004D79A5" w:rsidRPr="001270F1" w:rsidRDefault="00045031" w:rsidP="00665090">
      <w:pPr>
        <w:snapToGrid w:val="0"/>
        <w:spacing w:before="120" w:after="120"/>
        <w:jc w:val="center"/>
        <w:rPr>
          <w:rFonts w:ascii="Calibri" w:hAnsi="Calibri" w:cs="Calibri"/>
          <w:i/>
          <w:iCs/>
          <w:color w:val="000000" w:themeColor="text1"/>
          <w:lang w:eastAsia="it-IT"/>
        </w:rPr>
      </w:pPr>
      <w:r w:rsidRPr="001270F1">
        <w:rPr>
          <w:rFonts w:ascii="Calibri" w:hAnsi="Calibri" w:cs="Calibri"/>
          <w:b/>
          <w:bCs/>
          <w:color w:val="000000" w:themeColor="text1"/>
          <w:sz w:val="28"/>
          <w:szCs w:val="28"/>
          <w:lang w:eastAsia="it-IT"/>
        </w:rPr>
        <w:t>Sanskriti Tandon</w:t>
      </w:r>
      <w:r w:rsidR="00F01107" w:rsidRPr="001270F1">
        <w:rPr>
          <w:rFonts w:ascii="Calibri" w:hAnsi="Calibri" w:cs="Calibri"/>
          <w:b/>
          <w:bCs/>
          <w:color w:val="000000" w:themeColor="text1"/>
          <w:sz w:val="28"/>
          <w:szCs w:val="28"/>
          <w:lang w:eastAsia="it-IT"/>
        </w:rPr>
        <w:br/>
      </w:r>
      <w:r w:rsidR="00F01107" w:rsidRPr="00764728">
        <w:rPr>
          <w:rFonts w:ascii="Calibri" w:hAnsi="Calibri" w:cs="Calibri"/>
          <w:i/>
          <w:iCs/>
          <w:color w:val="000000" w:themeColor="text1"/>
          <w:sz w:val="20"/>
          <w:szCs w:val="20"/>
          <w:lang w:eastAsia="it-IT"/>
        </w:rPr>
        <w:t>Financial Analyst, J.P. Morgan Asset Management</w:t>
      </w:r>
      <w:r w:rsidR="00764728">
        <w:rPr>
          <w:rFonts w:ascii="Calibri" w:hAnsi="Calibri" w:cs="Calibri"/>
          <w:i/>
          <w:iCs/>
          <w:color w:val="000000" w:themeColor="text1"/>
          <w:sz w:val="20"/>
          <w:szCs w:val="20"/>
          <w:lang w:eastAsia="it-IT"/>
        </w:rPr>
        <w:t>, Doha, Qatar</w:t>
      </w:r>
    </w:p>
    <w:p w14:paraId="044C385F" w14:textId="7B1B3567" w:rsidR="009355C0" w:rsidRPr="001270F1" w:rsidRDefault="009355C0" w:rsidP="00665090">
      <w:pPr>
        <w:snapToGrid w:val="0"/>
        <w:spacing w:before="120" w:after="120"/>
        <w:rPr>
          <w:rFonts w:ascii="Calibri" w:hAnsi="Calibri" w:cs="Calibri"/>
          <w:color w:val="000000" w:themeColor="text1"/>
          <w:lang w:eastAsia="it-IT"/>
        </w:rPr>
      </w:pPr>
    </w:p>
    <w:p w14:paraId="1C64DA56" w14:textId="0FFDA8D3" w:rsidR="00D22AF9" w:rsidRPr="001270F1" w:rsidRDefault="00A7428A" w:rsidP="00665090">
      <w:pPr>
        <w:autoSpaceDE w:val="0"/>
        <w:autoSpaceDN w:val="0"/>
        <w:adjustRightInd w:val="0"/>
        <w:snapToGrid w:val="0"/>
        <w:spacing w:before="120" w:after="120"/>
        <w:jc w:val="center"/>
        <w:rPr>
          <w:rFonts w:ascii="Calibri" w:hAnsi="Calibri" w:cs="Calibri"/>
          <w:b/>
          <w:bCs/>
          <w:color w:val="000000" w:themeColor="text1"/>
          <w:sz w:val="28"/>
          <w:szCs w:val="28"/>
        </w:rPr>
      </w:pPr>
      <w:r w:rsidRPr="001270F1">
        <w:rPr>
          <w:rFonts w:ascii="Calibri" w:hAnsi="Calibri" w:cs="Calibri"/>
          <w:b/>
          <w:bCs/>
          <w:color w:val="000000" w:themeColor="text1"/>
          <w:sz w:val="28"/>
          <w:szCs w:val="28"/>
        </w:rPr>
        <w:t>ABSTRACT</w:t>
      </w:r>
    </w:p>
    <w:p w14:paraId="3BCBCDD1" w14:textId="18D64AC4" w:rsidR="009A7823" w:rsidRPr="001270F1" w:rsidRDefault="002A68FF" w:rsidP="00665090">
      <w:pPr>
        <w:autoSpaceDE w:val="0"/>
        <w:autoSpaceDN w:val="0"/>
        <w:adjustRightInd w:val="0"/>
        <w:snapToGrid w:val="0"/>
        <w:spacing w:before="120" w:after="120"/>
        <w:jc w:val="both"/>
        <w:rPr>
          <w:rFonts w:ascii="Calibri" w:hAnsi="Calibri" w:cs="Calibri"/>
          <w:color w:val="000000" w:themeColor="text1"/>
        </w:rPr>
      </w:pPr>
      <w:r w:rsidRPr="001270F1">
        <w:rPr>
          <w:rFonts w:ascii="Calibri" w:hAnsi="Calibri" w:cs="Calibri"/>
          <w:color w:val="000000" w:themeColor="text1"/>
        </w:rPr>
        <w:t>Sustainable Development Goals Education (SDGED) is a growing terrain that encapsulates global educational institutions, governmental and intergovernmental bodies, schools and the youth in general.</w:t>
      </w:r>
      <w:r w:rsidR="00624691" w:rsidRPr="001270F1">
        <w:rPr>
          <w:rFonts w:ascii="Calibri" w:hAnsi="Calibri" w:cs="Calibri"/>
          <w:color w:val="000000" w:themeColor="text1"/>
        </w:rPr>
        <w:t xml:space="preserve"> </w:t>
      </w:r>
      <w:r w:rsidRPr="001270F1">
        <w:rPr>
          <w:rFonts w:ascii="Calibri" w:hAnsi="Calibri" w:cs="Calibri"/>
          <w:color w:val="000000" w:themeColor="text1"/>
        </w:rPr>
        <w:t xml:space="preserve">SDGED </w:t>
      </w:r>
      <w:r w:rsidR="00045031" w:rsidRPr="001270F1">
        <w:rPr>
          <w:rFonts w:ascii="Calibri" w:hAnsi="Calibri" w:cs="Calibri"/>
          <w:color w:val="000000" w:themeColor="text1"/>
        </w:rPr>
        <w:t xml:space="preserve">has been integrated into various academic programs, educational initiatives and various public sector domains. However, SDGED is often understood and articulated without acknowledging specificities applying to different ages, types of training and localized situations. This study sheds light on the novel intersections between </w:t>
      </w:r>
      <w:r w:rsidRPr="001270F1">
        <w:rPr>
          <w:rFonts w:ascii="Calibri" w:hAnsi="Calibri" w:cs="Calibri"/>
          <w:color w:val="000000" w:themeColor="text1"/>
        </w:rPr>
        <w:t xml:space="preserve">Islamic social finance </w:t>
      </w:r>
      <w:r w:rsidR="00045031" w:rsidRPr="001270F1">
        <w:rPr>
          <w:rFonts w:ascii="Calibri" w:hAnsi="Calibri" w:cs="Calibri"/>
          <w:color w:val="000000" w:themeColor="text1"/>
        </w:rPr>
        <w:t>and</w:t>
      </w:r>
      <w:r w:rsidRPr="001270F1">
        <w:rPr>
          <w:rFonts w:ascii="Calibri" w:hAnsi="Calibri" w:cs="Calibri"/>
          <w:color w:val="000000" w:themeColor="text1"/>
        </w:rPr>
        <w:t xml:space="preserve"> SDGED</w:t>
      </w:r>
      <w:r w:rsidR="00045031" w:rsidRPr="001270F1">
        <w:rPr>
          <w:rFonts w:ascii="Calibri" w:hAnsi="Calibri" w:cs="Calibri"/>
          <w:color w:val="000000" w:themeColor="text1"/>
        </w:rPr>
        <w:t xml:space="preserve">. </w:t>
      </w:r>
      <w:r w:rsidR="009A7823" w:rsidRPr="001270F1">
        <w:rPr>
          <w:rFonts w:ascii="Calibri" w:hAnsi="Calibri" w:cs="Calibri"/>
          <w:color w:val="000000" w:themeColor="text1"/>
        </w:rPr>
        <w:t>These intersections are essentially informed by the theological and ontological elements of ISF provides the drive to charitable giving, which then translate to global consciousness and civic education or in a broader way, global citizenship education.</w:t>
      </w:r>
    </w:p>
    <w:p w14:paraId="65BB1BF3" w14:textId="5727F52C" w:rsidR="009A7823" w:rsidRPr="001270F1" w:rsidRDefault="009A7823" w:rsidP="00665090">
      <w:pPr>
        <w:autoSpaceDE w:val="0"/>
        <w:autoSpaceDN w:val="0"/>
        <w:adjustRightInd w:val="0"/>
        <w:snapToGrid w:val="0"/>
        <w:spacing w:before="120" w:after="120"/>
        <w:jc w:val="both"/>
        <w:rPr>
          <w:rFonts w:ascii="Calibri" w:hAnsi="Calibri" w:cs="Calibri"/>
          <w:color w:val="000000" w:themeColor="text1"/>
        </w:rPr>
      </w:pPr>
      <w:r w:rsidRPr="001270F1">
        <w:rPr>
          <w:rFonts w:ascii="Calibri" w:hAnsi="Calibri" w:cs="Calibri"/>
          <w:color w:val="000000" w:themeColor="text1"/>
        </w:rPr>
        <w:t xml:space="preserve">This study makes a nuanced contribution by offering a </w:t>
      </w:r>
      <w:proofErr w:type="spellStart"/>
      <w:r w:rsidRPr="001270F1">
        <w:rPr>
          <w:rFonts w:ascii="Calibri" w:hAnsi="Calibri" w:cs="Calibri"/>
          <w:i/>
          <w:iCs/>
          <w:color w:val="000000" w:themeColor="text1"/>
        </w:rPr>
        <w:t>Maqasid</w:t>
      </w:r>
      <w:proofErr w:type="spellEnd"/>
      <w:r w:rsidRPr="001270F1">
        <w:rPr>
          <w:rFonts w:ascii="Calibri" w:hAnsi="Calibri" w:cs="Calibri"/>
          <w:i/>
          <w:iCs/>
          <w:color w:val="000000" w:themeColor="text1"/>
        </w:rPr>
        <w:t xml:space="preserve"> al-Shariah</w:t>
      </w:r>
      <w:r w:rsidRPr="001270F1">
        <w:rPr>
          <w:rFonts w:ascii="Calibri" w:hAnsi="Calibri" w:cs="Calibri"/>
          <w:color w:val="000000" w:themeColor="text1"/>
        </w:rPr>
        <w:t>-based</w:t>
      </w:r>
      <w:r w:rsidRPr="001270F1">
        <w:rPr>
          <w:rFonts w:ascii="Calibri" w:hAnsi="Calibri" w:cs="Calibri"/>
          <w:b/>
          <w:bCs/>
          <w:color w:val="000000" w:themeColor="text1"/>
        </w:rPr>
        <w:t xml:space="preserve"> </w:t>
      </w:r>
      <w:r w:rsidRPr="001270F1">
        <w:rPr>
          <w:rFonts w:ascii="Calibri" w:hAnsi="Calibri" w:cs="Calibri"/>
          <w:color w:val="000000" w:themeColor="text1"/>
        </w:rPr>
        <w:t>SDGED Framework which has the potential to complement the localization efforts of SDGED through Islamic pedagogy principles.</w:t>
      </w:r>
      <w:r w:rsidR="00356F0D" w:rsidRPr="001270F1">
        <w:rPr>
          <w:rFonts w:ascii="Calibri" w:hAnsi="Calibri" w:cs="Calibri"/>
          <w:color w:val="000000" w:themeColor="text1"/>
        </w:rPr>
        <w:t xml:space="preserve"> In building the ISF-SDGED framework, the study uses some case studies to illustrate how the ISF institutions and to SDG agendas intersect.</w:t>
      </w:r>
    </w:p>
    <w:p w14:paraId="19512C99" w14:textId="0C25C263" w:rsidR="002A68FF" w:rsidRPr="001270F1" w:rsidRDefault="002A68FF" w:rsidP="00665090">
      <w:pPr>
        <w:snapToGrid w:val="0"/>
        <w:spacing w:before="120" w:after="120"/>
        <w:rPr>
          <w:rFonts w:ascii="Calibri" w:hAnsi="Calibri" w:cs="Calibri"/>
          <w:color w:val="000000" w:themeColor="text1"/>
        </w:rPr>
      </w:pPr>
      <w:r w:rsidRPr="001270F1">
        <w:rPr>
          <w:rFonts w:ascii="Calibri" w:hAnsi="Calibri" w:cs="Calibri"/>
          <w:color w:val="000000" w:themeColor="text1"/>
        </w:rPr>
        <w:br w:type="page"/>
      </w:r>
    </w:p>
    <w:p w14:paraId="4C4F1435" w14:textId="3C45D61B" w:rsidR="00D22AF9" w:rsidRPr="001270F1" w:rsidRDefault="00A7428A" w:rsidP="00665090">
      <w:pPr>
        <w:autoSpaceDE w:val="0"/>
        <w:autoSpaceDN w:val="0"/>
        <w:adjustRightInd w:val="0"/>
        <w:snapToGrid w:val="0"/>
        <w:spacing w:before="120" w:after="120"/>
        <w:jc w:val="center"/>
        <w:rPr>
          <w:rFonts w:ascii="Calibri" w:hAnsi="Calibri" w:cs="Calibri"/>
          <w:b/>
          <w:bCs/>
          <w:color w:val="000000" w:themeColor="text1"/>
          <w:sz w:val="28"/>
          <w:szCs w:val="28"/>
        </w:rPr>
      </w:pPr>
      <w:r w:rsidRPr="001270F1">
        <w:rPr>
          <w:rFonts w:ascii="Calibri" w:hAnsi="Calibri" w:cs="Calibri"/>
          <w:b/>
          <w:bCs/>
          <w:color w:val="000000" w:themeColor="text1"/>
          <w:sz w:val="28"/>
          <w:szCs w:val="28"/>
        </w:rPr>
        <w:lastRenderedPageBreak/>
        <w:t>INTRODUCTION</w:t>
      </w:r>
    </w:p>
    <w:p w14:paraId="3621ED73" w14:textId="4E0CAEEA" w:rsidR="00534B66" w:rsidRPr="001270F1" w:rsidRDefault="00534B66" w:rsidP="00665090">
      <w:pPr>
        <w:autoSpaceDE w:val="0"/>
        <w:autoSpaceDN w:val="0"/>
        <w:adjustRightInd w:val="0"/>
        <w:snapToGrid w:val="0"/>
        <w:spacing w:before="120" w:after="120"/>
        <w:jc w:val="both"/>
        <w:rPr>
          <w:rFonts w:ascii="Calibri" w:hAnsi="Calibri" w:cs="Calibri"/>
          <w:color w:val="000000" w:themeColor="text1"/>
        </w:rPr>
      </w:pPr>
      <w:r w:rsidRPr="001270F1">
        <w:rPr>
          <w:rFonts w:ascii="Calibri" w:hAnsi="Calibri" w:cs="Calibri"/>
          <w:color w:val="000000" w:themeColor="text1"/>
        </w:rPr>
        <w:t>The 2030 Agenda for Sustainable Development includes the United Nations fourth Sustainable Development Goal (SDG4), dealing with quality education. SDG4 is critical for meeting the SDGs and implementing the 2030 global agenda. Education is a shared responsibility among individuals, education and training institutions, and governments (Boeren, 2019). National education policies and strategies are the necessary starting point to achieve the SDG4 and the SDGs more generally. Although the state regulates education and controls its delivery and in some cases, state-led educational models may exist, such as in South Korea (Pak &amp; Lee, 2018), “there is increased recognition that many sectors of society and stakeholders are involved, notably private and civil society actors” (Marshall, 2018).</w:t>
      </w:r>
    </w:p>
    <w:p w14:paraId="3668A799" w14:textId="4FCF2F9E" w:rsidR="003F6559" w:rsidRPr="001270F1" w:rsidRDefault="003F6559" w:rsidP="00665090">
      <w:pPr>
        <w:autoSpaceDE w:val="0"/>
        <w:autoSpaceDN w:val="0"/>
        <w:adjustRightInd w:val="0"/>
        <w:snapToGrid w:val="0"/>
        <w:spacing w:before="120" w:after="120"/>
        <w:ind w:firstLine="720"/>
        <w:jc w:val="both"/>
        <w:rPr>
          <w:rFonts w:ascii="Calibri" w:hAnsi="Calibri" w:cs="Calibri"/>
          <w:color w:val="000000" w:themeColor="text1"/>
        </w:rPr>
      </w:pPr>
      <w:r w:rsidRPr="001270F1">
        <w:rPr>
          <w:rFonts w:ascii="Calibri" w:hAnsi="Calibri" w:cs="Calibri"/>
          <w:color w:val="000000" w:themeColor="text1"/>
        </w:rPr>
        <w:t xml:space="preserve">UNESCO (2017) outlined specific learning objectives for the </w:t>
      </w:r>
      <w:r w:rsidR="001C5650" w:rsidRPr="001270F1">
        <w:rPr>
          <w:rFonts w:ascii="Calibri" w:hAnsi="Calibri" w:cs="Calibri"/>
          <w:color w:val="000000" w:themeColor="text1"/>
        </w:rPr>
        <w:t>Sustainable Development Goals (</w:t>
      </w:r>
      <w:r w:rsidRPr="001270F1">
        <w:rPr>
          <w:rFonts w:ascii="Calibri" w:hAnsi="Calibri" w:cs="Calibri"/>
          <w:color w:val="000000" w:themeColor="text1"/>
        </w:rPr>
        <w:t>SDGs</w:t>
      </w:r>
      <w:r w:rsidR="001C5650" w:rsidRPr="001270F1">
        <w:rPr>
          <w:rFonts w:ascii="Calibri" w:hAnsi="Calibri" w:cs="Calibri"/>
          <w:color w:val="000000" w:themeColor="text1"/>
        </w:rPr>
        <w:t>)</w:t>
      </w:r>
      <w:r w:rsidRPr="001270F1">
        <w:rPr>
          <w:rFonts w:ascii="Calibri" w:hAnsi="Calibri" w:cs="Calibri"/>
          <w:color w:val="000000" w:themeColor="text1"/>
        </w:rPr>
        <w:t xml:space="preserve"> based on cognitive, socio-emotional</w:t>
      </w:r>
      <w:r w:rsidR="00A7428A" w:rsidRPr="001270F1">
        <w:rPr>
          <w:rFonts w:ascii="Calibri" w:hAnsi="Calibri" w:cs="Calibri"/>
          <w:color w:val="000000" w:themeColor="text1"/>
        </w:rPr>
        <w:t>,</w:t>
      </w:r>
      <w:r w:rsidRPr="001270F1">
        <w:rPr>
          <w:rFonts w:ascii="Calibri" w:hAnsi="Calibri" w:cs="Calibri"/>
          <w:color w:val="000000" w:themeColor="text1"/>
        </w:rPr>
        <w:t xml:space="preserve"> and behavioral domains. While the cognitive domain refers to knowledge and thinking skills, the socio-emotional aspect refers to attitudinal and value</w:t>
      </w:r>
      <w:r w:rsidR="00A7428A" w:rsidRPr="001270F1">
        <w:rPr>
          <w:rFonts w:ascii="Calibri" w:hAnsi="Calibri" w:cs="Calibri"/>
          <w:color w:val="000000" w:themeColor="text1"/>
        </w:rPr>
        <w:t>-</w:t>
      </w:r>
      <w:r w:rsidRPr="001270F1">
        <w:rPr>
          <w:rFonts w:ascii="Calibri" w:hAnsi="Calibri" w:cs="Calibri"/>
          <w:color w:val="000000" w:themeColor="text1"/>
        </w:rPr>
        <w:t xml:space="preserve">driven motivational aspects. Finally, the behavioral dimension is related to practical actionable forms </w:t>
      </w:r>
      <w:commentRangeStart w:id="0"/>
      <w:r w:rsidRPr="001270F1">
        <w:rPr>
          <w:rFonts w:ascii="Calibri" w:hAnsi="Calibri" w:cs="Calibri"/>
          <w:color w:val="000000" w:themeColor="text1"/>
        </w:rPr>
        <w:t xml:space="preserve">(11). </w:t>
      </w:r>
      <w:commentRangeEnd w:id="0"/>
      <w:r w:rsidR="00A7428A" w:rsidRPr="001270F1">
        <w:rPr>
          <w:rStyle w:val="CommentReference"/>
          <w:color w:val="000000" w:themeColor="text1"/>
        </w:rPr>
        <w:commentReference w:id="0"/>
      </w:r>
      <w:r w:rsidRPr="001270F1">
        <w:rPr>
          <w:rFonts w:ascii="Calibri" w:hAnsi="Calibri" w:cs="Calibri"/>
          <w:color w:val="000000" w:themeColor="text1"/>
        </w:rPr>
        <w:t>While this tripartite framework is useful in principle, it does not recognize the local context, the specific relationship between education and a given society, and the need for policymakers, curriculum developers</w:t>
      </w:r>
      <w:r w:rsidR="00A7428A" w:rsidRPr="001270F1">
        <w:rPr>
          <w:rFonts w:ascii="Calibri" w:hAnsi="Calibri" w:cs="Calibri"/>
          <w:color w:val="000000" w:themeColor="text1"/>
        </w:rPr>
        <w:t>,</w:t>
      </w:r>
      <w:r w:rsidRPr="001270F1">
        <w:rPr>
          <w:rFonts w:ascii="Calibri" w:hAnsi="Calibri" w:cs="Calibri"/>
          <w:color w:val="000000" w:themeColor="text1"/>
        </w:rPr>
        <w:t xml:space="preserve"> and teachers to work with and critically think about SDGED at several levels is crucial (</w:t>
      </w:r>
      <w:proofErr w:type="spellStart"/>
      <w:r w:rsidRPr="001270F1">
        <w:rPr>
          <w:rFonts w:ascii="Calibri" w:hAnsi="Calibri" w:cs="Calibri"/>
          <w:color w:val="000000" w:themeColor="text1"/>
        </w:rPr>
        <w:t>Welply</w:t>
      </w:r>
      <w:proofErr w:type="spellEnd"/>
      <w:r w:rsidRPr="001270F1">
        <w:rPr>
          <w:rFonts w:ascii="Calibri" w:hAnsi="Calibri" w:cs="Calibri"/>
          <w:color w:val="000000" w:themeColor="text1"/>
        </w:rPr>
        <w:t xml:space="preserve">, </w:t>
      </w:r>
      <w:proofErr w:type="spellStart"/>
      <w:r w:rsidRPr="001270F1">
        <w:rPr>
          <w:rFonts w:ascii="Calibri" w:hAnsi="Calibri" w:cs="Calibri"/>
          <w:color w:val="000000" w:themeColor="text1"/>
        </w:rPr>
        <w:t>Taamouti</w:t>
      </w:r>
      <w:proofErr w:type="spellEnd"/>
      <w:r w:rsidRPr="001270F1">
        <w:rPr>
          <w:rFonts w:ascii="Calibri" w:hAnsi="Calibri" w:cs="Calibri"/>
          <w:color w:val="000000" w:themeColor="text1"/>
        </w:rPr>
        <w:t xml:space="preserve">, Font, 2019, 85). </w:t>
      </w:r>
      <w:r w:rsidR="00A7428A" w:rsidRPr="001270F1">
        <w:rPr>
          <w:rFonts w:ascii="Calibri" w:hAnsi="Calibri" w:cs="Calibri"/>
          <w:color w:val="000000" w:themeColor="text1"/>
        </w:rPr>
        <w:t xml:space="preserve">Similarly, </w:t>
      </w:r>
      <w:r w:rsidRPr="001270F1">
        <w:rPr>
          <w:rFonts w:ascii="Calibri" w:hAnsi="Calibri" w:cs="Calibri"/>
          <w:color w:val="000000" w:themeColor="text1"/>
        </w:rPr>
        <w:t>the UNESCO framework is a useful starting point</w:t>
      </w:r>
      <w:r w:rsidR="00A7428A" w:rsidRPr="001270F1">
        <w:rPr>
          <w:rFonts w:ascii="Calibri" w:hAnsi="Calibri" w:cs="Calibri"/>
          <w:color w:val="000000" w:themeColor="text1"/>
        </w:rPr>
        <w:t>; however,</w:t>
      </w:r>
      <w:r w:rsidRPr="001270F1">
        <w:rPr>
          <w:rFonts w:ascii="Calibri" w:hAnsi="Calibri" w:cs="Calibri"/>
          <w:color w:val="000000" w:themeColor="text1"/>
        </w:rPr>
        <w:t xml:space="preserve"> it does not provide sufficient insights on practical implementations </w:t>
      </w:r>
      <w:r w:rsidR="00A7428A" w:rsidRPr="001270F1">
        <w:rPr>
          <w:rFonts w:ascii="Calibri" w:hAnsi="Calibri" w:cs="Calibri"/>
          <w:color w:val="000000" w:themeColor="text1"/>
        </w:rPr>
        <w:t xml:space="preserve">as well as the </w:t>
      </w:r>
      <w:r w:rsidRPr="001270F1">
        <w:rPr>
          <w:rFonts w:ascii="Calibri" w:hAnsi="Calibri" w:cs="Calibri"/>
          <w:color w:val="000000" w:themeColor="text1"/>
        </w:rPr>
        <w:t xml:space="preserve">consequent </w:t>
      </w:r>
      <w:r w:rsidR="00A7428A" w:rsidRPr="001270F1">
        <w:rPr>
          <w:rFonts w:ascii="Calibri" w:hAnsi="Calibri" w:cs="Calibri"/>
          <w:color w:val="000000" w:themeColor="text1"/>
        </w:rPr>
        <w:t xml:space="preserve">localization’s </w:t>
      </w:r>
      <w:r w:rsidRPr="001270F1">
        <w:rPr>
          <w:rFonts w:ascii="Calibri" w:hAnsi="Calibri" w:cs="Calibri"/>
          <w:color w:val="000000" w:themeColor="text1"/>
        </w:rPr>
        <w:t xml:space="preserve">potential trajectories. </w:t>
      </w:r>
    </w:p>
    <w:p w14:paraId="63D0FC89" w14:textId="17B669EE" w:rsidR="002D6B8A" w:rsidRPr="001270F1" w:rsidRDefault="002D6B8A" w:rsidP="00665090">
      <w:pPr>
        <w:autoSpaceDE w:val="0"/>
        <w:autoSpaceDN w:val="0"/>
        <w:adjustRightInd w:val="0"/>
        <w:snapToGrid w:val="0"/>
        <w:spacing w:before="120" w:after="120"/>
        <w:ind w:firstLine="720"/>
        <w:jc w:val="both"/>
        <w:rPr>
          <w:rFonts w:ascii="Calibri" w:hAnsi="Calibri" w:cs="Calibri"/>
          <w:color w:val="000000" w:themeColor="text1"/>
        </w:rPr>
      </w:pPr>
      <w:r w:rsidRPr="001270F1">
        <w:rPr>
          <w:rFonts w:ascii="Calibri" w:hAnsi="Calibri" w:cs="Calibri"/>
          <w:color w:val="000000" w:themeColor="text1"/>
        </w:rPr>
        <w:t>To ensure ownership, involvement of relevant stakeholders, and achievement of the SDGs, SDGED must be localized and adapted to local needs and societies. The role of local governments and especially cities in SDGED through their recognized leadership role has been emphasized by the UCLG report on the localization of the SDGs (UCLG 2019). Cities must set in place their own ad hoc SDGED programs or customized education programs on specific issues, such as waste management, for instance, henceforth contributing to create localized education ecosystems. If localization applies to the city at the micro-local level, it may constitute the national context respond to national needs of the education ecosystems. For instance, in Ethiopia, it has demonstrated that the public university system development offered individuals promising capabilities and skills that increased their employability that is in with the SDGs and the country development plan (</w:t>
      </w:r>
      <w:proofErr w:type="spellStart"/>
      <w:r w:rsidRPr="001270F1">
        <w:rPr>
          <w:rFonts w:ascii="Calibri" w:hAnsi="Calibri" w:cs="Calibri"/>
          <w:color w:val="000000" w:themeColor="text1"/>
        </w:rPr>
        <w:t>O’Koeffe</w:t>
      </w:r>
      <w:proofErr w:type="spellEnd"/>
      <w:r w:rsidRPr="001270F1">
        <w:rPr>
          <w:rFonts w:ascii="Calibri" w:hAnsi="Calibri" w:cs="Calibri"/>
          <w:color w:val="000000" w:themeColor="text1"/>
        </w:rPr>
        <w:t>, 2016).</w:t>
      </w:r>
    </w:p>
    <w:p w14:paraId="5B41AA12" w14:textId="693867BD" w:rsidR="003F6559" w:rsidRPr="001270F1" w:rsidRDefault="003F6559" w:rsidP="00665090">
      <w:pPr>
        <w:autoSpaceDE w:val="0"/>
        <w:autoSpaceDN w:val="0"/>
        <w:adjustRightInd w:val="0"/>
        <w:snapToGrid w:val="0"/>
        <w:spacing w:before="120" w:after="120"/>
        <w:ind w:firstLine="720"/>
        <w:jc w:val="both"/>
        <w:rPr>
          <w:rFonts w:ascii="Calibri" w:hAnsi="Calibri" w:cs="Calibri"/>
          <w:color w:val="000000" w:themeColor="text1"/>
        </w:rPr>
      </w:pPr>
      <w:r w:rsidRPr="001270F1">
        <w:rPr>
          <w:rFonts w:ascii="Calibri" w:hAnsi="Calibri" w:cs="Calibri"/>
          <w:i/>
          <w:color w:val="000000" w:themeColor="text1"/>
        </w:rPr>
        <w:t>Crosscutting key competencies</w:t>
      </w:r>
      <w:r w:rsidRPr="001270F1">
        <w:rPr>
          <w:rFonts w:ascii="Calibri" w:hAnsi="Calibri" w:cs="Calibri"/>
          <w:color w:val="000000" w:themeColor="text1"/>
        </w:rPr>
        <w:t xml:space="preserve"> </w:t>
      </w:r>
      <w:r w:rsidR="001C5650" w:rsidRPr="001270F1">
        <w:rPr>
          <w:rFonts w:ascii="Calibri" w:hAnsi="Calibri" w:cs="Calibri"/>
          <w:color w:val="000000" w:themeColor="text1"/>
        </w:rPr>
        <w:t xml:space="preserve">is </w:t>
      </w:r>
      <w:r w:rsidRPr="001270F1">
        <w:rPr>
          <w:rFonts w:ascii="Calibri" w:hAnsi="Calibri" w:cs="Calibri"/>
          <w:color w:val="000000" w:themeColor="text1"/>
        </w:rPr>
        <w:t>necessary for achieving all SDGs</w:t>
      </w:r>
      <w:r w:rsidR="001C5650" w:rsidRPr="001270F1">
        <w:rPr>
          <w:rFonts w:ascii="Calibri" w:hAnsi="Calibri" w:cs="Calibri"/>
          <w:color w:val="000000" w:themeColor="text1"/>
        </w:rPr>
        <w:t>.</w:t>
      </w:r>
      <w:r w:rsidRPr="001270F1">
        <w:rPr>
          <w:rFonts w:ascii="Calibri" w:hAnsi="Calibri" w:cs="Calibri"/>
          <w:color w:val="000000" w:themeColor="text1"/>
        </w:rPr>
        <w:t xml:space="preserve"> </w:t>
      </w:r>
      <w:r w:rsidR="001C5650" w:rsidRPr="001270F1">
        <w:rPr>
          <w:rFonts w:ascii="Calibri" w:hAnsi="Calibri" w:cs="Calibri"/>
          <w:color w:val="000000" w:themeColor="text1"/>
        </w:rPr>
        <w:t>I</w:t>
      </w:r>
      <w:r w:rsidRPr="001270F1">
        <w:rPr>
          <w:rFonts w:ascii="Calibri" w:hAnsi="Calibri" w:cs="Calibri"/>
          <w:color w:val="000000" w:themeColor="text1"/>
        </w:rPr>
        <w:t>ndividuals must learn to understand the complex world</w:t>
      </w:r>
      <w:r w:rsidR="001C5650" w:rsidRPr="001270F1">
        <w:rPr>
          <w:rFonts w:ascii="Calibri" w:hAnsi="Calibri" w:cs="Calibri"/>
          <w:color w:val="000000" w:themeColor="text1"/>
        </w:rPr>
        <w:t>, made of interrelated and systemic processes,</w:t>
      </w:r>
      <w:r w:rsidRPr="001270F1">
        <w:rPr>
          <w:rFonts w:ascii="Calibri" w:hAnsi="Calibri" w:cs="Calibri"/>
          <w:color w:val="000000" w:themeColor="text1"/>
        </w:rPr>
        <w:t xml:space="preserve"> in which they live. They need to learn to collaborate to make their voices, wills, and values heard and to act (individually and collectively) for positive change (UNESCO, 2015) in line with the SDGs. This requires competencies that cannot be taught but must be developed by individuals: the education ecosystem is the instrument through which these competencies are developed. Although global competencies, such as critical thinking and integrated problem-solving, could be considered as identical everywhere in the world, this </w:t>
      </w:r>
      <w:r w:rsidR="003A23B2" w:rsidRPr="001270F1">
        <w:rPr>
          <w:rFonts w:ascii="Calibri" w:hAnsi="Calibri" w:cs="Calibri"/>
          <w:color w:val="000000" w:themeColor="text1"/>
        </w:rPr>
        <w:t>study</w:t>
      </w:r>
      <w:r w:rsidRPr="001270F1">
        <w:rPr>
          <w:rFonts w:ascii="Calibri" w:hAnsi="Calibri" w:cs="Calibri"/>
          <w:color w:val="000000" w:themeColor="text1"/>
        </w:rPr>
        <w:t xml:space="preserve"> emphasizes that education ecosystems (and henceforth methods and stakeholders) are diversified around the world (UNESCO 2014)</w:t>
      </w:r>
      <w:r w:rsidR="00534B66" w:rsidRPr="001270F1">
        <w:rPr>
          <w:rFonts w:ascii="Calibri" w:hAnsi="Calibri" w:cs="Calibri"/>
          <w:color w:val="000000" w:themeColor="text1"/>
        </w:rPr>
        <w:t>.</w:t>
      </w:r>
      <w:r w:rsidRPr="001270F1">
        <w:rPr>
          <w:rFonts w:ascii="Calibri" w:hAnsi="Calibri" w:cs="Calibri"/>
          <w:color w:val="000000" w:themeColor="text1"/>
        </w:rPr>
        <w:t xml:space="preserve"> </w:t>
      </w:r>
      <w:r w:rsidR="00534B66" w:rsidRPr="001270F1">
        <w:rPr>
          <w:rFonts w:ascii="Calibri" w:hAnsi="Calibri" w:cs="Calibri"/>
          <w:color w:val="000000" w:themeColor="text1"/>
        </w:rPr>
        <w:t>It</w:t>
      </w:r>
      <w:r w:rsidRPr="001270F1">
        <w:rPr>
          <w:rFonts w:ascii="Calibri" w:hAnsi="Calibri" w:cs="Calibri"/>
          <w:color w:val="000000" w:themeColor="text1"/>
        </w:rPr>
        <w:t xml:space="preserve"> also </w:t>
      </w:r>
      <w:r w:rsidR="00534B66" w:rsidRPr="001270F1">
        <w:rPr>
          <w:rFonts w:ascii="Calibri" w:hAnsi="Calibri" w:cs="Calibri"/>
          <w:color w:val="000000" w:themeColor="text1"/>
        </w:rPr>
        <w:t xml:space="preserve">highlights </w:t>
      </w:r>
      <w:r w:rsidRPr="001270F1">
        <w:rPr>
          <w:rFonts w:ascii="Calibri" w:hAnsi="Calibri" w:cs="Calibri"/>
          <w:color w:val="000000" w:themeColor="text1"/>
        </w:rPr>
        <w:t>that SDGs can be implemented in various ways and following diverse strategies, depending on the spaces and societies to which they apply (</w:t>
      </w:r>
      <w:bookmarkStart w:id="1" w:name="_Hlk30779953"/>
      <w:r w:rsidRPr="001270F1">
        <w:rPr>
          <w:rFonts w:ascii="Calibri" w:hAnsi="Calibri" w:cs="Calibri"/>
          <w:color w:val="000000" w:themeColor="text1"/>
        </w:rPr>
        <w:t xml:space="preserve">Sachs et al., 2019; </w:t>
      </w:r>
      <w:proofErr w:type="spellStart"/>
      <w:r w:rsidRPr="001270F1">
        <w:rPr>
          <w:rFonts w:ascii="Calibri" w:hAnsi="Calibri" w:cs="Calibri"/>
          <w:color w:val="000000" w:themeColor="text1"/>
        </w:rPr>
        <w:t>Luomi</w:t>
      </w:r>
      <w:proofErr w:type="spellEnd"/>
      <w:r w:rsidRPr="001270F1">
        <w:rPr>
          <w:rFonts w:ascii="Calibri" w:hAnsi="Calibri" w:cs="Calibri"/>
          <w:color w:val="000000" w:themeColor="text1"/>
        </w:rPr>
        <w:t xml:space="preserve"> et al., 2019).</w:t>
      </w:r>
      <w:bookmarkEnd w:id="1"/>
    </w:p>
    <w:p w14:paraId="7E85848E" w14:textId="633B3BF0" w:rsidR="001C5650" w:rsidRPr="001270F1" w:rsidRDefault="001C5650" w:rsidP="00665090">
      <w:pPr>
        <w:autoSpaceDE w:val="0"/>
        <w:autoSpaceDN w:val="0"/>
        <w:adjustRightInd w:val="0"/>
        <w:snapToGrid w:val="0"/>
        <w:spacing w:before="120" w:after="120"/>
        <w:jc w:val="both"/>
        <w:rPr>
          <w:rFonts w:ascii="Calibri" w:hAnsi="Calibri" w:cs="Calibri"/>
          <w:color w:val="000000" w:themeColor="text1"/>
        </w:rPr>
      </w:pPr>
    </w:p>
    <w:p w14:paraId="727745DE" w14:textId="4F327498" w:rsidR="001C5650" w:rsidRPr="001270F1" w:rsidRDefault="001C5650" w:rsidP="00665090">
      <w:pPr>
        <w:autoSpaceDE w:val="0"/>
        <w:autoSpaceDN w:val="0"/>
        <w:adjustRightInd w:val="0"/>
        <w:snapToGrid w:val="0"/>
        <w:spacing w:before="120" w:after="120"/>
        <w:jc w:val="center"/>
        <w:rPr>
          <w:rFonts w:ascii="Calibri" w:hAnsi="Calibri" w:cs="Calibri"/>
          <w:b/>
          <w:bCs/>
          <w:color w:val="000000" w:themeColor="text1"/>
          <w:sz w:val="28"/>
          <w:szCs w:val="28"/>
        </w:rPr>
      </w:pPr>
      <w:r w:rsidRPr="001270F1">
        <w:rPr>
          <w:rFonts w:ascii="Calibri" w:hAnsi="Calibri" w:cs="Calibri"/>
          <w:b/>
          <w:bCs/>
          <w:color w:val="000000" w:themeColor="text1"/>
          <w:sz w:val="28"/>
          <w:szCs w:val="28"/>
        </w:rPr>
        <w:lastRenderedPageBreak/>
        <w:t>SDGED AND ITS COMPONENTS</w:t>
      </w:r>
    </w:p>
    <w:p w14:paraId="2D79FEBF" w14:textId="746D3EFC" w:rsidR="003F6559" w:rsidRPr="001270F1" w:rsidRDefault="003F6559" w:rsidP="00665090">
      <w:pPr>
        <w:autoSpaceDE w:val="0"/>
        <w:autoSpaceDN w:val="0"/>
        <w:adjustRightInd w:val="0"/>
        <w:snapToGrid w:val="0"/>
        <w:spacing w:before="120" w:after="120"/>
        <w:jc w:val="both"/>
        <w:rPr>
          <w:rFonts w:ascii="Calibri" w:hAnsi="Calibri" w:cs="Calibri"/>
          <w:color w:val="000000" w:themeColor="text1"/>
        </w:rPr>
      </w:pPr>
      <w:r w:rsidRPr="001270F1">
        <w:rPr>
          <w:rFonts w:ascii="Calibri" w:hAnsi="Calibri" w:cs="Calibri"/>
          <w:color w:val="000000" w:themeColor="text1"/>
        </w:rPr>
        <w:t>SDG education is an instrument to deliver knowledge, skills, and moral values that conceptualize global citizenship education (GCE). To this extent</w:t>
      </w:r>
      <w:r w:rsidR="009B4072" w:rsidRPr="001270F1">
        <w:rPr>
          <w:rFonts w:ascii="Calibri" w:hAnsi="Calibri" w:cs="Calibri"/>
          <w:color w:val="000000" w:themeColor="text1"/>
        </w:rPr>
        <w:t>,</w:t>
      </w:r>
      <w:r w:rsidRPr="001270F1">
        <w:rPr>
          <w:rFonts w:ascii="Calibri" w:hAnsi="Calibri" w:cs="Calibri"/>
          <w:color w:val="000000" w:themeColor="text1"/>
        </w:rPr>
        <w:t xml:space="preserve"> cultural practices and values</w:t>
      </w:r>
      <w:r w:rsidR="009B4072" w:rsidRPr="001270F1">
        <w:rPr>
          <w:rFonts w:ascii="Calibri" w:hAnsi="Calibri" w:cs="Calibri"/>
          <w:color w:val="000000" w:themeColor="text1"/>
        </w:rPr>
        <w:t>,</w:t>
      </w:r>
      <w:r w:rsidRPr="001270F1">
        <w:rPr>
          <w:rFonts w:ascii="Calibri" w:hAnsi="Calibri" w:cs="Calibri"/>
          <w:color w:val="000000" w:themeColor="text1"/>
        </w:rPr>
        <w:t xml:space="preserve"> such as indigenous knowledge</w:t>
      </w:r>
      <w:r w:rsidR="009B4072" w:rsidRPr="001270F1">
        <w:rPr>
          <w:rFonts w:ascii="Calibri" w:hAnsi="Calibri" w:cs="Calibri"/>
          <w:color w:val="000000" w:themeColor="text1"/>
        </w:rPr>
        <w:t>,</w:t>
      </w:r>
      <w:r w:rsidRPr="001270F1">
        <w:rPr>
          <w:rFonts w:ascii="Calibri" w:hAnsi="Calibri" w:cs="Calibri"/>
          <w:color w:val="000000" w:themeColor="text1"/>
        </w:rPr>
        <w:t xml:space="preserve"> are aligned </w:t>
      </w:r>
      <w:r w:rsidR="009B4072" w:rsidRPr="001270F1">
        <w:rPr>
          <w:rFonts w:ascii="Calibri" w:hAnsi="Calibri" w:cs="Calibri"/>
          <w:color w:val="000000" w:themeColor="text1"/>
        </w:rPr>
        <w:t xml:space="preserve">with </w:t>
      </w:r>
      <w:r w:rsidRPr="001270F1">
        <w:rPr>
          <w:rFonts w:ascii="Calibri" w:hAnsi="Calibri" w:cs="Calibri"/>
          <w:color w:val="000000" w:themeColor="text1"/>
        </w:rPr>
        <w:t>the sustainability paradigm</w:t>
      </w:r>
      <w:r w:rsidR="009B4072" w:rsidRPr="001270F1">
        <w:rPr>
          <w:rFonts w:ascii="Calibri" w:hAnsi="Calibri" w:cs="Calibri"/>
          <w:color w:val="000000" w:themeColor="text1"/>
        </w:rPr>
        <w:t>,</w:t>
      </w:r>
      <w:r w:rsidRPr="001270F1">
        <w:rPr>
          <w:rFonts w:ascii="Calibri" w:hAnsi="Calibri" w:cs="Calibri"/>
          <w:color w:val="000000" w:themeColor="text1"/>
        </w:rPr>
        <w:t xml:space="preserve"> as they promote the respect between human beings and environmental protection. Incorporating indigenous knowledge in educational interventions contributes to implement and meet the SDGs at the local level (Sandoval-Rivera, 2019). Similarly, religions being part of local cultures, religious values</w:t>
      </w:r>
      <w:r w:rsidR="00DD35B9" w:rsidRPr="001270F1">
        <w:rPr>
          <w:rFonts w:ascii="Calibri" w:hAnsi="Calibri" w:cs="Calibri"/>
          <w:color w:val="000000" w:themeColor="text1"/>
        </w:rPr>
        <w:t>,</w:t>
      </w:r>
      <w:r w:rsidRPr="001270F1">
        <w:rPr>
          <w:rFonts w:ascii="Calibri" w:hAnsi="Calibri" w:cs="Calibri"/>
          <w:color w:val="000000" w:themeColor="text1"/>
        </w:rPr>
        <w:t xml:space="preserve"> and moral beliefs play a critical role in educational curricula and pedagogy for achieving educational goals. Faith-based approaches and models (such as Jesuit or the Aga Khan Network) address the main global challenges of “education: service delivery of the world’s poorest populations and shaping elite and leadership values. As such, religious institutions also influence opinions, politics, policies, and laws and can be engaged as strategic players for achieving global educational goals, including global citizenship” (Marshall, 2018).</w:t>
      </w:r>
    </w:p>
    <w:p w14:paraId="1B64AB0E" w14:textId="66D4EF3C" w:rsidR="003F6559" w:rsidRPr="001270F1" w:rsidRDefault="003F6559" w:rsidP="00665090">
      <w:pPr>
        <w:autoSpaceDE w:val="0"/>
        <w:autoSpaceDN w:val="0"/>
        <w:adjustRightInd w:val="0"/>
        <w:snapToGrid w:val="0"/>
        <w:spacing w:before="120" w:after="120"/>
        <w:ind w:firstLine="720"/>
        <w:jc w:val="both"/>
        <w:rPr>
          <w:rFonts w:ascii="Calibri" w:hAnsi="Calibri" w:cs="Calibri"/>
          <w:color w:val="000000" w:themeColor="text1"/>
        </w:rPr>
      </w:pPr>
      <w:r w:rsidRPr="001270F1">
        <w:rPr>
          <w:rFonts w:ascii="Calibri" w:hAnsi="Calibri" w:cs="Calibri"/>
          <w:color w:val="000000" w:themeColor="text1"/>
        </w:rPr>
        <w:t xml:space="preserve">The example of the International </w:t>
      </w:r>
      <w:r w:rsidR="009B4072" w:rsidRPr="001270F1">
        <w:rPr>
          <w:rFonts w:ascii="Calibri" w:hAnsi="Calibri" w:cs="Calibri"/>
          <w:color w:val="000000" w:themeColor="text1"/>
        </w:rPr>
        <w:t>Baccalaureate</w:t>
      </w:r>
      <w:r w:rsidRPr="001270F1">
        <w:rPr>
          <w:rFonts w:ascii="Calibri" w:hAnsi="Calibri" w:cs="Calibri"/>
          <w:color w:val="000000" w:themeColor="text1"/>
        </w:rPr>
        <w:t xml:space="preserve"> (IB) schools demonstrates that its pillars are</w:t>
      </w:r>
      <w:r w:rsidR="009B4072" w:rsidRPr="001270F1">
        <w:rPr>
          <w:rFonts w:ascii="Calibri" w:hAnsi="Calibri" w:cs="Calibri"/>
          <w:color w:val="000000" w:themeColor="text1"/>
        </w:rPr>
        <w:t xml:space="preserve"> based on</w:t>
      </w:r>
      <w:r w:rsidRPr="001270F1">
        <w:rPr>
          <w:rFonts w:ascii="Calibri" w:hAnsi="Calibri" w:cs="Calibri"/>
          <w:color w:val="000000" w:themeColor="text1"/>
        </w:rPr>
        <w:t xml:space="preserve">: “globally acknowledged quality, moral global values, and neoliberal global standards. The varied ways in which IB schools are engaging with GCE showcase how local contexts shape it” (Dvir, Shields and Yemini 2018). This localized global citizenship education (LGCE) is a practical response to </w:t>
      </w:r>
      <w:r w:rsidR="009B4072" w:rsidRPr="001270F1">
        <w:rPr>
          <w:rFonts w:ascii="Calibri" w:hAnsi="Calibri" w:cs="Calibri"/>
          <w:color w:val="000000" w:themeColor="text1"/>
        </w:rPr>
        <w:t xml:space="preserve">SDGED’s </w:t>
      </w:r>
      <w:r w:rsidRPr="001270F1">
        <w:rPr>
          <w:rFonts w:ascii="Calibri" w:hAnsi="Calibri" w:cs="Calibri"/>
          <w:color w:val="000000" w:themeColor="text1"/>
        </w:rPr>
        <w:t>various challenges, especially for higher education (Shepard, Rieckmann and Barth 2019)</w:t>
      </w:r>
      <w:r w:rsidR="009B4072" w:rsidRPr="001270F1">
        <w:rPr>
          <w:rFonts w:ascii="Calibri" w:hAnsi="Calibri" w:cs="Calibri"/>
          <w:color w:val="000000" w:themeColor="text1"/>
        </w:rPr>
        <w:t>.</w:t>
      </w:r>
      <w:r w:rsidRPr="001270F1">
        <w:rPr>
          <w:rFonts w:ascii="Calibri" w:hAnsi="Calibri" w:cs="Calibri"/>
          <w:color w:val="000000" w:themeColor="text1"/>
        </w:rPr>
        <w:t xml:space="preserve"> </w:t>
      </w:r>
      <w:r w:rsidR="009B4072" w:rsidRPr="001270F1">
        <w:rPr>
          <w:rFonts w:ascii="Calibri" w:hAnsi="Calibri" w:cs="Calibri"/>
          <w:color w:val="000000" w:themeColor="text1"/>
        </w:rPr>
        <w:t>I</w:t>
      </w:r>
      <w:r w:rsidRPr="001270F1">
        <w:rPr>
          <w:rFonts w:ascii="Calibri" w:hAnsi="Calibri" w:cs="Calibri"/>
          <w:color w:val="000000" w:themeColor="text1"/>
        </w:rPr>
        <w:t xml:space="preserve">t corresponds to the specific customized processes that need to be designed, launched, and implemented to which the literature refers </w:t>
      </w:r>
      <w:r w:rsidR="009B4072" w:rsidRPr="001270F1">
        <w:rPr>
          <w:rFonts w:ascii="Calibri" w:hAnsi="Calibri" w:cs="Calibri"/>
          <w:color w:val="000000" w:themeColor="text1"/>
        </w:rPr>
        <w:t xml:space="preserve">to as </w:t>
      </w:r>
      <w:r w:rsidRPr="001270F1">
        <w:rPr>
          <w:rFonts w:ascii="Calibri" w:hAnsi="Calibri" w:cs="Calibri"/>
          <w:color w:val="000000" w:themeColor="text1"/>
        </w:rPr>
        <w:t>an educational institution (</w:t>
      </w:r>
      <w:proofErr w:type="spellStart"/>
      <w:r w:rsidRPr="001270F1">
        <w:rPr>
          <w:rFonts w:ascii="Calibri" w:hAnsi="Calibri" w:cs="Calibri"/>
          <w:color w:val="000000" w:themeColor="text1"/>
        </w:rPr>
        <w:t>Fleaca</w:t>
      </w:r>
      <w:proofErr w:type="spellEnd"/>
      <w:r w:rsidRPr="001270F1">
        <w:rPr>
          <w:rFonts w:ascii="Calibri" w:hAnsi="Calibri" w:cs="Calibri"/>
          <w:color w:val="000000" w:themeColor="text1"/>
        </w:rPr>
        <w:t xml:space="preserve">, </w:t>
      </w:r>
      <w:proofErr w:type="spellStart"/>
      <w:r w:rsidRPr="001270F1">
        <w:rPr>
          <w:rFonts w:ascii="Calibri" w:hAnsi="Calibri" w:cs="Calibri"/>
          <w:color w:val="000000" w:themeColor="text1"/>
        </w:rPr>
        <w:t>Fleaca</w:t>
      </w:r>
      <w:proofErr w:type="spellEnd"/>
      <w:r w:rsidRPr="001270F1">
        <w:rPr>
          <w:rFonts w:ascii="Calibri" w:hAnsi="Calibri" w:cs="Calibri"/>
          <w:color w:val="000000" w:themeColor="text1"/>
        </w:rPr>
        <w:t xml:space="preserve">, and </w:t>
      </w:r>
      <w:proofErr w:type="spellStart"/>
      <w:r w:rsidRPr="001270F1">
        <w:rPr>
          <w:rFonts w:ascii="Calibri" w:hAnsi="Calibri" w:cs="Calibri"/>
          <w:color w:val="000000" w:themeColor="text1"/>
        </w:rPr>
        <w:t>Maiduc</w:t>
      </w:r>
      <w:proofErr w:type="spellEnd"/>
      <w:r w:rsidRPr="001270F1">
        <w:rPr>
          <w:rFonts w:ascii="Calibri" w:hAnsi="Calibri" w:cs="Calibri"/>
          <w:color w:val="000000" w:themeColor="text1"/>
        </w:rPr>
        <w:t xml:space="preserve"> 2018). Localized moral and ethical values included in the definition of LGCE would counter criticisms</w:t>
      </w:r>
      <w:r w:rsidR="009B4072" w:rsidRPr="001270F1">
        <w:rPr>
          <w:rFonts w:ascii="Calibri" w:hAnsi="Calibri" w:cs="Calibri"/>
          <w:color w:val="000000" w:themeColor="text1"/>
        </w:rPr>
        <w:t>,</w:t>
      </w:r>
      <w:r w:rsidRPr="001270F1">
        <w:rPr>
          <w:rFonts w:ascii="Calibri" w:hAnsi="Calibri" w:cs="Calibri"/>
          <w:color w:val="000000" w:themeColor="text1"/>
        </w:rPr>
        <w:t xml:space="preserve"> according to which global citizenship support</w:t>
      </w:r>
      <w:r w:rsidR="009B4072" w:rsidRPr="001270F1">
        <w:rPr>
          <w:rFonts w:ascii="Calibri" w:hAnsi="Calibri" w:cs="Calibri"/>
          <w:color w:val="000000" w:themeColor="text1"/>
        </w:rPr>
        <w:t>s</w:t>
      </w:r>
      <w:r w:rsidRPr="001270F1">
        <w:rPr>
          <w:rFonts w:ascii="Calibri" w:hAnsi="Calibri" w:cs="Calibri"/>
          <w:color w:val="000000" w:themeColor="text1"/>
        </w:rPr>
        <w:t xml:space="preserve"> the spread of neoliberal values trough a hegemonic approach (Marquis, </w:t>
      </w:r>
      <w:proofErr w:type="spellStart"/>
      <w:r w:rsidRPr="001270F1">
        <w:rPr>
          <w:rFonts w:ascii="Calibri" w:hAnsi="Calibri" w:cs="Calibri"/>
          <w:color w:val="000000" w:themeColor="text1"/>
        </w:rPr>
        <w:t>Redda</w:t>
      </w:r>
      <w:proofErr w:type="spellEnd"/>
      <w:r w:rsidRPr="001270F1">
        <w:rPr>
          <w:rFonts w:ascii="Calibri" w:hAnsi="Calibri" w:cs="Calibri"/>
          <w:color w:val="000000" w:themeColor="text1"/>
        </w:rPr>
        <w:t xml:space="preserve">, and </w:t>
      </w:r>
      <w:proofErr w:type="spellStart"/>
      <w:r w:rsidRPr="001270F1">
        <w:rPr>
          <w:rFonts w:ascii="Calibri" w:hAnsi="Calibri" w:cs="Calibri"/>
          <w:color w:val="000000" w:themeColor="text1"/>
        </w:rPr>
        <w:t>Twells</w:t>
      </w:r>
      <w:proofErr w:type="spellEnd"/>
      <w:r w:rsidRPr="001270F1">
        <w:rPr>
          <w:rFonts w:ascii="Calibri" w:hAnsi="Calibri" w:cs="Calibri"/>
          <w:color w:val="000000" w:themeColor="text1"/>
        </w:rPr>
        <w:t xml:space="preserve"> 2018). Since information and communication technology is pivotal for sustainable development and social employability and participation, LGCE must be a </w:t>
      </w:r>
      <w:r w:rsidR="009B4072" w:rsidRPr="001270F1">
        <w:rPr>
          <w:rFonts w:ascii="Calibri" w:hAnsi="Calibri" w:cs="Calibri"/>
          <w:color w:val="000000" w:themeColor="text1"/>
        </w:rPr>
        <w:t>‘</w:t>
      </w:r>
      <w:r w:rsidRPr="001270F1">
        <w:rPr>
          <w:rFonts w:ascii="Calibri" w:hAnsi="Calibri" w:cs="Calibri"/>
          <w:color w:val="000000" w:themeColor="text1"/>
        </w:rPr>
        <w:t>digital citizenship</w:t>
      </w:r>
      <w:r w:rsidR="009B4072" w:rsidRPr="001270F1">
        <w:rPr>
          <w:rFonts w:ascii="Calibri" w:hAnsi="Calibri" w:cs="Calibri"/>
          <w:color w:val="000000" w:themeColor="text1"/>
        </w:rPr>
        <w:t>’</w:t>
      </w:r>
      <w:r w:rsidRPr="001270F1">
        <w:rPr>
          <w:rFonts w:ascii="Calibri" w:hAnsi="Calibri" w:cs="Calibri"/>
          <w:color w:val="000000" w:themeColor="text1"/>
        </w:rPr>
        <w:t xml:space="preserve"> (Ghosn-</w:t>
      </w:r>
      <w:proofErr w:type="spellStart"/>
      <w:r w:rsidRPr="001270F1">
        <w:rPr>
          <w:rFonts w:ascii="Calibri" w:hAnsi="Calibri" w:cs="Calibri"/>
          <w:color w:val="000000" w:themeColor="text1"/>
        </w:rPr>
        <w:t>Chelala</w:t>
      </w:r>
      <w:proofErr w:type="spellEnd"/>
      <w:r w:rsidRPr="001270F1">
        <w:rPr>
          <w:rFonts w:ascii="Calibri" w:hAnsi="Calibri" w:cs="Calibri"/>
          <w:color w:val="000000" w:themeColor="text1"/>
        </w:rPr>
        <w:t xml:space="preserve"> 2019).</w:t>
      </w:r>
    </w:p>
    <w:p w14:paraId="15CBEF35" w14:textId="1B4F9DCA" w:rsidR="003F6559" w:rsidRPr="001270F1" w:rsidRDefault="003F6559" w:rsidP="00665090">
      <w:pPr>
        <w:autoSpaceDE w:val="0"/>
        <w:autoSpaceDN w:val="0"/>
        <w:adjustRightInd w:val="0"/>
        <w:snapToGrid w:val="0"/>
        <w:spacing w:before="120" w:after="120"/>
        <w:ind w:firstLine="720"/>
        <w:jc w:val="both"/>
        <w:rPr>
          <w:rFonts w:ascii="Calibri" w:hAnsi="Calibri" w:cs="Calibri"/>
          <w:color w:val="000000" w:themeColor="text1"/>
        </w:rPr>
      </w:pPr>
      <w:r w:rsidRPr="001270F1">
        <w:rPr>
          <w:rFonts w:ascii="Calibri" w:hAnsi="Calibri" w:cs="Calibri"/>
          <w:color w:val="000000" w:themeColor="text1"/>
        </w:rPr>
        <w:t>Businesses, Higher Education Institutions (HEIs)</w:t>
      </w:r>
      <w:r w:rsidR="009B4072" w:rsidRPr="001270F1">
        <w:rPr>
          <w:rFonts w:ascii="Calibri" w:hAnsi="Calibri" w:cs="Calibri"/>
          <w:color w:val="000000" w:themeColor="text1"/>
        </w:rPr>
        <w:t>,</w:t>
      </w:r>
      <w:r w:rsidRPr="001270F1">
        <w:rPr>
          <w:rFonts w:ascii="Calibri" w:hAnsi="Calibri" w:cs="Calibri"/>
          <w:color w:val="000000" w:themeColor="text1"/>
        </w:rPr>
        <w:t xml:space="preserve"> and NGOs are recognizing that sustainability is more of a socio-cultural and economic movement, rather than just an environmental one (Schwarz, Lorenz, Schmidt, 2018, 1) and HEIs must be at the forefront of progress (</w:t>
      </w:r>
      <w:proofErr w:type="spellStart"/>
      <w:r w:rsidRPr="001270F1">
        <w:rPr>
          <w:rFonts w:ascii="Calibri" w:hAnsi="Calibri" w:cs="Calibri"/>
          <w:color w:val="000000" w:themeColor="text1"/>
        </w:rPr>
        <w:t>Camilleti</w:t>
      </w:r>
      <w:proofErr w:type="spellEnd"/>
      <w:r w:rsidRPr="001270F1">
        <w:rPr>
          <w:rFonts w:ascii="Calibri" w:hAnsi="Calibri" w:cs="Calibri"/>
          <w:color w:val="000000" w:themeColor="text1"/>
        </w:rPr>
        <w:t>, 2019, 1). HEIs play a key role in achieving the SDGs, specifically, SDG4 on quality and inclusive education. They have great potential to create positive impact</w:t>
      </w:r>
      <w:r w:rsidR="009B4072" w:rsidRPr="001270F1">
        <w:rPr>
          <w:rFonts w:ascii="Calibri" w:hAnsi="Calibri" w:cs="Calibri"/>
          <w:color w:val="000000" w:themeColor="text1"/>
        </w:rPr>
        <w:t>s</w:t>
      </w:r>
      <w:r w:rsidRPr="001270F1">
        <w:rPr>
          <w:rFonts w:ascii="Calibri" w:hAnsi="Calibri" w:cs="Calibri"/>
          <w:color w:val="000000" w:themeColor="text1"/>
        </w:rPr>
        <w:t xml:space="preserve"> because they are </w:t>
      </w:r>
      <w:r w:rsidR="009B4072" w:rsidRPr="001270F1">
        <w:rPr>
          <w:rFonts w:ascii="Calibri" w:hAnsi="Calibri" w:cs="Calibri"/>
          <w:color w:val="000000" w:themeColor="text1"/>
        </w:rPr>
        <w:t>among</w:t>
      </w:r>
      <w:r w:rsidRPr="001270F1">
        <w:rPr>
          <w:rFonts w:ascii="Calibri" w:hAnsi="Calibri" w:cs="Calibri"/>
          <w:color w:val="000000" w:themeColor="text1"/>
        </w:rPr>
        <w:t xml:space="preserve"> the most significant incubators of ideas and solutions to global issues and have networks with government entities, civil society and industry partners. They also develop professional competencies and skills that may have a long-term impact on the economy and foster innovation in line with the SDGs. However, progress towards achieving SDG4 in the Gulf region has been slow (</w:t>
      </w:r>
      <w:bookmarkStart w:id="2" w:name="_Hlk30782311"/>
      <w:proofErr w:type="spellStart"/>
      <w:r w:rsidRPr="001270F1">
        <w:rPr>
          <w:rFonts w:ascii="Calibri" w:hAnsi="Calibri" w:cs="Calibri"/>
          <w:color w:val="000000" w:themeColor="text1"/>
        </w:rPr>
        <w:t>Luomi</w:t>
      </w:r>
      <w:proofErr w:type="spellEnd"/>
      <w:r w:rsidRPr="001270F1">
        <w:rPr>
          <w:rFonts w:ascii="Calibri" w:hAnsi="Calibri" w:cs="Calibri"/>
          <w:color w:val="000000" w:themeColor="text1"/>
        </w:rPr>
        <w:t xml:space="preserve"> et al., 2019</w:t>
      </w:r>
      <w:bookmarkEnd w:id="2"/>
      <w:r w:rsidRPr="001270F1">
        <w:rPr>
          <w:rFonts w:ascii="Calibri" w:hAnsi="Calibri" w:cs="Calibri"/>
          <w:color w:val="000000" w:themeColor="text1"/>
        </w:rPr>
        <w:t>), which is why Qatar needs to take a more active role in achieving the goal of quality and inclusive education with regards to HEIs (Sparks, 2019).</w:t>
      </w:r>
    </w:p>
    <w:p w14:paraId="26BDC844" w14:textId="676E62DB" w:rsidR="00342376" w:rsidRPr="001270F1" w:rsidRDefault="003F6559" w:rsidP="00665090">
      <w:pPr>
        <w:autoSpaceDE w:val="0"/>
        <w:autoSpaceDN w:val="0"/>
        <w:adjustRightInd w:val="0"/>
        <w:snapToGrid w:val="0"/>
        <w:spacing w:before="120" w:after="120"/>
        <w:ind w:firstLine="720"/>
        <w:jc w:val="both"/>
        <w:rPr>
          <w:rFonts w:ascii="Calibri" w:hAnsi="Calibri" w:cs="Calibri"/>
          <w:color w:val="000000" w:themeColor="text1"/>
        </w:rPr>
      </w:pPr>
      <w:r w:rsidRPr="001270F1">
        <w:rPr>
          <w:rFonts w:ascii="Calibri" w:hAnsi="Calibri" w:cs="Calibri"/>
          <w:color w:val="000000" w:themeColor="text1"/>
        </w:rPr>
        <w:t>HEI</w:t>
      </w:r>
      <w:r w:rsidR="001C4D4A" w:rsidRPr="001270F1">
        <w:rPr>
          <w:rFonts w:ascii="Calibri" w:hAnsi="Calibri" w:cs="Calibri"/>
          <w:color w:val="000000" w:themeColor="text1"/>
        </w:rPr>
        <w:t>s</w:t>
      </w:r>
      <w:r w:rsidRPr="001270F1">
        <w:rPr>
          <w:rFonts w:ascii="Calibri" w:hAnsi="Calibri" w:cs="Calibri"/>
          <w:color w:val="000000" w:themeColor="text1"/>
        </w:rPr>
        <w:t xml:space="preserve"> </w:t>
      </w:r>
      <w:r w:rsidR="001C4D4A" w:rsidRPr="001270F1">
        <w:rPr>
          <w:rFonts w:ascii="Calibri" w:hAnsi="Calibri" w:cs="Calibri"/>
          <w:color w:val="000000" w:themeColor="text1"/>
        </w:rPr>
        <w:t xml:space="preserve">potential </w:t>
      </w:r>
      <w:r w:rsidRPr="001270F1">
        <w:rPr>
          <w:rFonts w:ascii="Calibri" w:hAnsi="Calibri" w:cs="Calibri"/>
          <w:color w:val="000000" w:themeColor="text1"/>
        </w:rPr>
        <w:t xml:space="preserve">to implement sustainable practices go further than just the operational changes that are most commonly related to climate change mitigation or environmental protection. </w:t>
      </w:r>
      <w:r w:rsidR="00282185" w:rsidRPr="001270F1">
        <w:rPr>
          <w:rFonts w:ascii="Calibri" w:hAnsi="Calibri" w:cs="Calibri"/>
          <w:color w:val="000000" w:themeColor="text1"/>
        </w:rPr>
        <w:t>One missing component to the SD</w:t>
      </w:r>
      <w:r w:rsidR="008A5246" w:rsidRPr="001270F1">
        <w:rPr>
          <w:rFonts w:ascii="Calibri" w:hAnsi="Calibri" w:cs="Calibri"/>
          <w:color w:val="000000" w:themeColor="text1"/>
        </w:rPr>
        <w:t>GED</w:t>
      </w:r>
      <w:r w:rsidR="00282185" w:rsidRPr="001270F1">
        <w:rPr>
          <w:rFonts w:ascii="Calibri" w:hAnsi="Calibri" w:cs="Calibri"/>
          <w:color w:val="000000" w:themeColor="text1"/>
        </w:rPr>
        <w:t xml:space="preserve"> is faith</w:t>
      </w:r>
      <w:r w:rsidR="009B4072" w:rsidRPr="001270F1">
        <w:rPr>
          <w:rFonts w:ascii="Calibri" w:hAnsi="Calibri" w:cs="Calibri"/>
          <w:color w:val="000000" w:themeColor="text1"/>
        </w:rPr>
        <w:t>-</w:t>
      </w:r>
      <w:r w:rsidR="00282185" w:rsidRPr="001270F1">
        <w:rPr>
          <w:rFonts w:ascii="Calibri" w:hAnsi="Calibri" w:cs="Calibri"/>
          <w:color w:val="000000" w:themeColor="text1"/>
        </w:rPr>
        <w:t xml:space="preserve">based learning and </w:t>
      </w:r>
      <w:r w:rsidR="001C4D4A" w:rsidRPr="001270F1">
        <w:rPr>
          <w:rFonts w:ascii="Calibri" w:hAnsi="Calibri" w:cs="Calibri"/>
          <w:color w:val="000000" w:themeColor="text1"/>
        </w:rPr>
        <w:t xml:space="preserve">virtues, </w:t>
      </w:r>
      <w:r w:rsidR="00282185" w:rsidRPr="001270F1">
        <w:rPr>
          <w:rFonts w:ascii="Calibri" w:hAnsi="Calibri" w:cs="Calibri"/>
          <w:color w:val="000000" w:themeColor="text1"/>
        </w:rPr>
        <w:t xml:space="preserve">which is only driven by local and cultural education. </w:t>
      </w:r>
      <w:r w:rsidRPr="001270F1">
        <w:rPr>
          <w:rFonts w:ascii="Calibri" w:hAnsi="Calibri" w:cs="Calibri"/>
          <w:color w:val="000000" w:themeColor="text1"/>
        </w:rPr>
        <w:t>HEIs</w:t>
      </w:r>
      <w:r w:rsidR="001A3AA9" w:rsidRPr="001270F1">
        <w:rPr>
          <w:rFonts w:ascii="Calibri" w:hAnsi="Calibri" w:cs="Calibri"/>
          <w:color w:val="000000" w:themeColor="text1"/>
        </w:rPr>
        <w:t xml:space="preserve">, therefore, </w:t>
      </w:r>
      <w:r w:rsidRPr="001270F1">
        <w:rPr>
          <w:rFonts w:ascii="Calibri" w:hAnsi="Calibri" w:cs="Calibri"/>
          <w:color w:val="000000" w:themeColor="text1"/>
        </w:rPr>
        <w:t xml:space="preserve">need to implement a holistic </w:t>
      </w:r>
      <w:r w:rsidR="008A5246" w:rsidRPr="001270F1">
        <w:rPr>
          <w:rFonts w:ascii="Calibri" w:hAnsi="Calibri" w:cs="Calibri"/>
          <w:color w:val="000000" w:themeColor="text1"/>
        </w:rPr>
        <w:t xml:space="preserve">sustainable development </w:t>
      </w:r>
      <w:r w:rsidRPr="001270F1">
        <w:rPr>
          <w:rFonts w:ascii="Calibri" w:hAnsi="Calibri" w:cs="Calibri"/>
          <w:color w:val="000000" w:themeColor="text1"/>
        </w:rPr>
        <w:t>framework in order to be sustainable</w:t>
      </w:r>
      <w:r w:rsidR="001C4D4A" w:rsidRPr="001270F1">
        <w:rPr>
          <w:rFonts w:ascii="Calibri" w:hAnsi="Calibri" w:cs="Calibri"/>
          <w:color w:val="000000" w:themeColor="text1"/>
        </w:rPr>
        <w:t xml:space="preserve"> truly</w:t>
      </w:r>
      <w:r w:rsidRPr="001270F1">
        <w:rPr>
          <w:rFonts w:ascii="Calibri" w:hAnsi="Calibri" w:cs="Calibri"/>
          <w:color w:val="000000" w:themeColor="text1"/>
        </w:rPr>
        <w:t xml:space="preserve">. A sustainability plan for HEIs can be implemented using the UN SDGs (Camilleri, 2019, 1). The DiLoreto initiative at Villanova University in the USA has developed </w:t>
      </w:r>
      <w:r w:rsidR="00E726A8" w:rsidRPr="001270F1">
        <w:rPr>
          <w:rFonts w:ascii="Calibri" w:hAnsi="Calibri" w:cs="Calibri"/>
          <w:color w:val="000000" w:themeColor="text1"/>
        </w:rPr>
        <w:t xml:space="preserve">pedagogical processes and practices </w:t>
      </w:r>
      <w:r w:rsidRPr="001270F1">
        <w:rPr>
          <w:rFonts w:ascii="Calibri" w:hAnsi="Calibri" w:cs="Calibri"/>
          <w:color w:val="000000" w:themeColor="text1"/>
        </w:rPr>
        <w:t xml:space="preserve">that utilize </w:t>
      </w:r>
      <w:r w:rsidRPr="001270F1">
        <w:rPr>
          <w:rFonts w:ascii="Calibri" w:hAnsi="Calibri" w:cs="Calibri"/>
          <w:color w:val="000000" w:themeColor="text1"/>
        </w:rPr>
        <w:lastRenderedPageBreak/>
        <w:t>the SDGs as a framework</w:t>
      </w:r>
      <w:r w:rsidR="00E726A8" w:rsidRPr="001270F1">
        <w:rPr>
          <w:rFonts w:ascii="Calibri" w:hAnsi="Calibri" w:cs="Calibri"/>
          <w:color w:val="000000" w:themeColor="text1"/>
        </w:rPr>
        <w:t xml:space="preserve">. </w:t>
      </w:r>
      <w:commentRangeStart w:id="3"/>
      <w:r w:rsidR="00E726A8" w:rsidRPr="001270F1">
        <w:rPr>
          <w:rFonts w:ascii="Calibri" w:hAnsi="Calibri" w:cs="Calibri"/>
          <w:color w:val="000000" w:themeColor="text1"/>
        </w:rPr>
        <w:t>A</w:t>
      </w:r>
      <w:r w:rsidRPr="001270F1">
        <w:rPr>
          <w:rFonts w:ascii="Calibri" w:hAnsi="Calibri" w:cs="Calibri"/>
          <w:color w:val="000000" w:themeColor="text1"/>
        </w:rPr>
        <w:t xml:space="preserve"> </w:t>
      </w:r>
      <w:r w:rsidR="00342376" w:rsidRPr="001270F1">
        <w:rPr>
          <w:rFonts w:ascii="Calibri" w:hAnsi="Calibri" w:cs="Calibri"/>
          <w:color w:val="000000" w:themeColor="text1"/>
        </w:rPr>
        <w:t xml:space="preserve">study on the </w:t>
      </w:r>
      <w:r w:rsidRPr="001270F1">
        <w:rPr>
          <w:rFonts w:ascii="Calibri" w:hAnsi="Calibri" w:cs="Calibri"/>
          <w:color w:val="000000" w:themeColor="text1"/>
        </w:rPr>
        <w:t xml:space="preserve">pilot program </w:t>
      </w:r>
      <w:r w:rsidR="00342376" w:rsidRPr="001270F1">
        <w:rPr>
          <w:rFonts w:ascii="Calibri" w:hAnsi="Calibri" w:cs="Calibri"/>
          <w:color w:val="000000" w:themeColor="text1"/>
        </w:rPr>
        <w:t xml:space="preserve">based on </w:t>
      </w:r>
      <w:proofErr w:type="gramStart"/>
      <w:r w:rsidR="00342376" w:rsidRPr="001270F1">
        <w:rPr>
          <w:rFonts w:ascii="Calibri" w:hAnsi="Calibri" w:cs="Calibri"/>
          <w:color w:val="000000" w:themeColor="text1"/>
        </w:rPr>
        <w:t>the  DiLoreto</w:t>
      </w:r>
      <w:proofErr w:type="gramEnd"/>
      <w:r w:rsidR="00342376" w:rsidRPr="001270F1">
        <w:rPr>
          <w:rFonts w:ascii="Calibri" w:hAnsi="Calibri" w:cs="Calibri"/>
          <w:color w:val="000000" w:themeColor="text1"/>
        </w:rPr>
        <w:t xml:space="preserve"> initiative </w:t>
      </w:r>
      <w:r w:rsidRPr="001270F1">
        <w:rPr>
          <w:rFonts w:ascii="Calibri" w:hAnsi="Calibri" w:cs="Calibri"/>
          <w:color w:val="000000" w:themeColor="text1"/>
        </w:rPr>
        <w:t xml:space="preserve">has been conducted </w:t>
      </w:r>
      <w:r w:rsidR="00342376" w:rsidRPr="001270F1">
        <w:rPr>
          <w:rFonts w:ascii="Calibri" w:hAnsi="Calibri" w:cs="Calibri"/>
          <w:color w:val="000000" w:themeColor="text1"/>
        </w:rPr>
        <w:t xml:space="preserve">and </w:t>
      </w:r>
      <w:r w:rsidRPr="001270F1">
        <w:rPr>
          <w:rFonts w:ascii="Calibri" w:hAnsi="Calibri" w:cs="Calibri"/>
          <w:color w:val="000000" w:themeColor="text1"/>
        </w:rPr>
        <w:t xml:space="preserve">has shown </w:t>
      </w:r>
      <w:r w:rsidR="00342376" w:rsidRPr="001270F1">
        <w:rPr>
          <w:rFonts w:ascii="Calibri" w:hAnsi="Calibri" w:cs="Calibri"/>
          <w:color w:val="000000" w:themeColor="text1"/>
        </w:rPr>
        <w:t xml:space="preserve">it </w:t>
      </w:r>
      <w:r w:rsidRPr="001270F1">
        <w:rPr>
          <w:rFonts w:ascii="Calibri" w:hAnsi="Calibri" w:cs="Calibri"/>
          <w:color w:val="000000" w:themeColor="text1"/>
        </w:rPr>
        <w:t xml:space="preserve">to be successful. </w:t>
      </w:r>
      <w:commentRangeEnd w:id="3"/>
      <w:r w:rsidR="00342376" w:rsidRPr="001270F1">
        <w:rPr>
          <w:rStyle w:val="CommentReference"/>
          <w:color w:val="000000" w:themeColor="text1"/>
        </w:rPr>
        <w:commentReference w:id="3"/>
      </w:r>
      <w:r w:rsidR="00342376" w:rsidRPr="001270F1">
        <w:rPr>
          <w:rFonts w:ascii="Calibri" w:hAnsi="Calibri" w:cs="Calibri"/>
          <w:color w:val="000000" w:themeColor="text1"/>
        </w:rPr>
        <w:t>Likewise</w:t>
      </w:r>
      <w:r w:rsidRPr="001270F1">
        <w:rPr>
          <w:rFonts w:ascii="Calibri" w:hAnsi="Calibri" w:cs="Calibri"/>
          <w:color w:val="000000" w:themeColor="text1"/>
        </w:rPr>
        <w:t>, the process could be extremely beneficial within HEIs in the global attempt to practice holistic sustainability by helping other schools drafting and implementing their own custom sustainability plans (Camilleri, 2019, 3).</w:t>
      </w:r>
    </w:p>
    <w:p w14:paraId="0063E92B" w14:textId="5DCA419E" w:rsidR="003F6559" w:rsidRPr="001270F1" w:rsidRDefault="003F6559" w:rsidP="00665090">
      <w:pPr>
        <w:autoSpaceDE w:val="0"/>
        <w:autoSpaceDN w:val="0"/>
        <w:adjustRightInd w:val="0"/>
        <w:snapToGrid w:val="0"/>
        <w:spacing w:before="120" w:after="120"/>
        <w:ind w:firstLine="720"/>
        <w:jc w:val="both"/>
        <w:rPr>
          <w:rFonts w:ascii="Calibri" w:hAnsi="Calibri" w:cs="Calibri"/>
          <w:color w:val="000000" w:themeColor="text1"/>
        </w:rPr>
      </w:pPr>
      <w:r w:rsidRPr="001270F1">
        <w:rPr>
          <w:rFonts w:ascii="Calibri" w:hAnsi="Calibri" w:cs="Calibri"/>
          <w:color w:val="000000" w:themeColor="text1"/>
        </w:rPr>
        <w:t xml:space="preserve">Moreover, HEIs can continuously integrate the UN SDGs into their strategic plans using coordinated assessment, metrics, and organizational alignment with the aim of developing a plan outline that represents the SDGs as well as the institution’s priorities and cultures (Schwarz, Lorenz, Schmidt, 2018, 1). This is what the Education City </w:t>
      </w:r>
      <w:proofErr w:type="spellStart"/>
      <w:r w:rsidRPr="001270F1">
        <w:rPr>
          <w:rFonts w:ascii="Calibri" w:hAnsi="Calibri" w:cs="Calibri"/>
          <w:color w:val="000000" w:themeColor="text1"/>
        </w:rPr>
        <w:t>Eco</w:t>
      </w:r>
      <w:r w:rsidR="00342376" w:rsidRPr="001270F1">
        <w:rPr>
          <w:rFonts w:ascii="Calibri" w:hAnsi="Calibri" w:cs="Calibri"/>
          <w:color w:val="000000" w:themeColor="text1"/>
        </w:rPr>
        <w:t>C</w:t>
      </w:r>
      <w:r w:rsidRPr="001270F1">
        <w:rPr>
          <w:rFonts w:ascii="Calibri" w:hAnsi="Calibri" w:cs="Calibri"/>
          <w:color w:val="000000" w:themeColor="text1"/>
        </w:rPr>
        <w:t>ampus</w:t>
      </w:r>
      <w:proofErr w:type="spellEnd"/>
      <w:r w:rsidRPr="001270F1">
        <w:rPr>
          <w:rFonts w:ascii="Calibri" w:hAnsi="Calibri" w:cs="Calibri"/>
          <w:color w:val="000000" w:themeColor="text1"/>
        </w:rPr>
        <w:t xml:space="preserve"> has been doing in Qatar for 25 years</w:t>
      </w:r>
      <w:r w:rsidR="00342376" w:rsidRPr="001270F1">
        <w:rPr>
          <w:rFonts w:ascii="Calibri" w:hAnsi="Calibri" w:cs="Calibri"/>
          <w:color w:val="000000" w:themeColor="text1"/>
        </w:rPr>
        <w:t>.</w:t>
      </w:r>
      <w:r w:rsidRPr="001270F1">
        <w:rPr>
          <w:rFonts w:ascii="Calibri" w:hAnsi="Calibri" w:cs="Calibri"/>
          <w:color w:val="000000" w:themeColor="text1"/>
        </w:rPr>
        <w:t xml:space="preserve"> </w:t>
      </w:r>
      <w:r w:rsidR="00342376" w:rsidRPr="001270F1">
        <w:rPr>
          <w:rFonts w:ascii="Calibri" w:hAnsi="Calibri" w:cs="Calibri"/>
          <w:color w:val="000000" w:themeColor="text1"/>
        </w:rPr>
        <w:t>T</w:t>
      </w:r>
      <w:r w:rsidRPr="001270F1">
        <w:rPr>
          <w:rFonts w:ascii="Calibri" w:hAnsi="Calibri" w:cs="Calibri"/>
          <w:color w:val="000000" w:themeColor="text1"/>
        </w:rPr>
        <w:t xml:space="preserve">ogether with </w:t>
      </w:r>
      <w:r w:rsidR="00342376" w:rsidRPr="001270F1">
        <w:rPr>
          <w:rFonts w:ascii="Calibri" w:hAnsi="Calibri" w:cs="Calibri"/>
          <w:color w:val="000000" w:themeColor="text1"/>
        </w:rPr>
        <w:t xml:space="preserve">Qatar Foundation </w:t>
      </w:r>
      <w:r w:rsidRPr="001270F1">
        <w:rPr>
          <w:rFonts w:ascii="Calibri" w:hAnsi="Calibri" w:cs="Calibri"/>
          <w:color w:val="000000" w:themeColor="text1"/>
        </w:rPr>
        <w:t xml:space="preserve">and the </w:t>
      </w:r>
      <w:r w:rsidR="00342376" w:rsidRPr="001270F1">
        <w:rPr>
          <w:rFonts w:ascii="Calibri" w:hAnsi="Calibri" w:cs="Calibri"/>
          <w:color w:val="000000" w:themeColor="text1"/>
        </w:rPr>
        <w:t xml:space="preserve">Qatar Green Building Council, universities earnestly </w:t>
      </w:r>
      <w:r w:rsidRPr="001270F1">
        <w:rPr>
          <w:rFonts w:ascii="Calibri" w:hAnsi="Calibri" w:cs="Calibri"/>
          <w:color w:val="000000" w:themeColor="text1"/>
        </w:rPr>
        <w:t>contribut</w:t>
      </w:r>
      <w:r w:rsidR="00342376" w:rsidRPr="001270F1">
        <w:rPr>
          <w:rFonts w:ascii="Calibri" w:hAnsi="Calibri" w:cs="Calibri"/>
          <w:color w:val="000000" w:themeColor="text1"/>
        </w:rPr>
        <w:t>e</w:t>
      </w:r>
      <w:r w:rsidRPr="001270F1">
        <w:rPr>
          <w:rFonts w:ascii="Calibri" w:hAnsi="Calibri" w:cs="Calibri"/>
          <w:color w:val="000000" w:themeColor="text1"/>
        </w:rPr>
        <w:t xml:space="preserve"> to achiev</w:t>
      </w:r>
      <w:r w:rsidR="00342376" w:rsidRPr="001270F1">
        <w:rPr>
          <w:rFonts w:ascii="Calibri" w:hAnsi="Calibri" w:cs="Calibri"/>
          <w:color w:val="000000" w:themeColor="text1"/>
        </w:rPr>
        <w:t>ing</w:t>
      </w:r>
      <w:r w:rsidRPr="001270F1">
        <w:rPr>
          <w:rFonts w:ascii="Calibri" w:hAnsi="Calibri" w:cs="Calibri"/>
          <w:color w:val="000000" w:themeColor="text1"/>
        </w:rPr>
        <w:t xml:space="preserve"> the SDGs, while developing SDGED on practical issues and key topics like school grounds, food, waste, etc. </w:t>
      </w:r>
      <w:commentRangeStart w:id="4"/>
      <w:r w:rsidRPr="001270F1">
        <w:rPr>
          <w:rFonts w:ascii="Calibri" w:hAnsi="Calibri" w:cs="Calibri"/>
          <w:color w:val="000000" w:themeColor="text1"/>
        </w:rPr>
        <w:t xml:space="preserve">GCE is one of the themes of the </w:t>
      </w:r>
      <w:proofErr w:type="spellStart"/>
      <w:r w:rsidRPr="001270F1">
        <w:rPr>
          <w:rFonts w:ascii="Calibri" w:hAnsi="Calibri" w:cs="Calibri"/>
          <w:color w:val="000000" w:themeColor="text1"/>
        </w:rPr>
        <w:t>Ecocampus</w:t>
      </w:r>
      <w:proofErr w:type="spellEnd"/>
      <w:r w:rsidRPr="001270F1">
        <w:rPr>
          <w:rFonts w:ascii="Calibri" w:hAnsi="Calibri" w:cs="Calibri"/>
          <w:color w:val="000000" w:themeColor="text1"/>
        </w:rPr>
        <w:t xml:space="preserve"> initiatives, showing how its impact is critical.</w:t>
      </w:r>
      <w:commentRangeEnd w:id="4"/>
      <w:r w:rsidR="00D234C8" w:rsidRPr="001270F1">
        <w:rPr>
          <w:rStyle w:val="CommentReference"/>
          <w:color w:val="000000" w:themeColor="text1"/>
        </w:rPr>
        <w:commentReference w:id="4"/>
      </w:r>
    </w:p>
    <w:p w14:paraId="31D1890F" w14:textId="7AC12E70" w:rsidR="003F6559" w:rsidRPr="001270F1" w:rsidRDefault="003F6559" w:rsidP="00665090">
      <w:pPr>
        <w:autoSpaceDE w:val="0"/>
        <w:autoSpaceDN w:val="0"/>
        <w:adjustRightInd w:val="0"/>
        <w:snapToGrid w:val="0"/>
        <w:spacing w:before="120" w:after="120"/>
        <w:ind w:firstLine="720"/>
        <w:jc w:val="both"/>
        <w:rPr>
          <w:rFonts w:ascii="Calibri" w:hAnsi="Calibri" w:cs="Calibri"/>
          <w:color w:val="000000" w:themeColor="text1"/>
        </w:rPr>
      </w:pPr>
      <w:r w:rsidRPr="001270F1">
        <w:rPr>
          <w:rFonts w:ascii="Calibri" w:hAnsi="Calibri" w:cs="Calibri"/>
          <w:color w:val="000000" w:themeColor="text1"/>
        </w:rPr>
        <w:t xml:space="preserve">Our </w:t>
      </w:r>
      <w:r w:rsidR="003A23B2" w:rsidRPr="001270F1">
        <w:rPr>
          <w:rFonts w:ascii="Calibri" w:hAnsi="Calibri" w:cs="Calibri"/>
          <w:color w:val="000000" w:themeColor="text1"/>
        </w:rPr>
        <w:t>study</w:t>
      </w:r>
      <w:r w:rsidRPr="001270F1">
        <w:rPr>
          <w:rFonts w:ascii="Calibri" w:hAnsi="Calibri" w:cs="Calibri"/>
          <w:color w:val="000000" w:themeColor="text1"/>
        </w:rPr>
        <w:t xml:space="preserve"> envisions that innovative teaching and learning techniques are required for the SDGs. One example of how transformative learning could be applied to SDGs is how the University of Torino, Italy</w:t>
      </w:r>
      <w:r w:rsidR="00D234C8" w:rsidRPr="001270F1">
        <w:rPr>
          <w:rFonts w:ascii="Calibri" w:hAnsi="Calibri" w:cs="Calibri"/>
          <w:color w:val="000000" w:themeColor="text1"/>
        </w:rPr>
        <w:t>,</w:t>
      </w:r>
      <w:r w:rsidRPr="001270F1">
        <w:rPr>
          <w:rFonts w:ascii="Calibri" w:hAnsi="Calibri" w:cs="Calibri"/>
          <w:color w:val="000000" w:themeColor="text1"/>
        </w:rPr>
        <w:t xml:space="preserve"> focused on teaching their students </w:t>
      </w:r>
      <w:r w:rsidR="00D234C8" w:rsidRPr="001270F1">
        <w:rPr>
          <w:rFonts w:ascii="Calibri" w:hAnsi="Calibri" w:cs="Calibri"/>
          <w:color w:val="000000" w:themeColor="text1"/>
        </w:rPr>
        <w:t xml:space="preserve">soft </w:t>
      </w:r>
      <w:r w:rsidRPr="001270F1">
        <w:rPr>
          <w:rFonts w:ascii="Calibri" w:hAnsi="Calibri" w:cs="Calibri"/>
          <w:color w:val="000000" w:themeColor="text1"/>
        </w:rPr>
        <w:t>managerial skills. In addition to empowering students through a transformative learning experience, the acquisition of these skills was beneficial in co-creating and co-designing projects to effectively contribute to the SDGs (</w:t>
      </w:r>
      <w:bookmarkStart w:id="5" w:name="_Hlk30782318"/>
      <w:r w:rsidRPr="001270F1">
        <w:rPr>
          <w:rFonts w:ascii="Calibri" w:hAnsi="Calibri" w:cs="Calibri"/>
          <w:color w:val="000000" w:themeColor="text1"/>
        </w:rPr>
        <w:t>University of Torino, 2019</w:t>
      </w:r>
      <w:bookmarkEnd w:id="5"/>
      <w:r w:rsidRPr="001270F1">
        <w:rPr>
          <w:rFonts w:ascii="Calibri" w:hAnsi="Calibri" w:cs="Calibri"/>
          <w:color w:val="000000" w:themeColor="text1"/>
        </w:rPr>
        <w:t xml:space="preserve">, 1). </w:t>
      </w:r>
      <w:r w:rsidR="00D234C8" w:rsidRPr="001270F1">
        <w:rPr>
          <w:rFonts w:ascii="Calibri" w:hAnsi="Calibri" w:cs="Calibri"/>
          <w:color w:val="000000" w:themeColor="text1"/>
        </w:rPr>
        <w:t>Similarly</w:t>
      </w:r>
      <w:r w:rsidRPr="001270F1">
        <w:rPr>
          <w:rFonts w:ascii="Calibri" w:hAnsi="Calibri" w:cs="Calibri"/>
          <w:color w:val="000000" w:themeColor="text1"/>
        </w:rPr>
        <w:t>, the University of the West Indies, Mona, Jamaica</w:t>
      </w:r>
      <w:r w:rsidR="00D234C8" w:rsidRPr="001270F1">
        <w:rPr>
          <w:rFonts w:ascii="Calibri" w:hAnsi="Calibri" w:cs="Calibri"/>
          <w:color w:val="000000" w:themeColor="text1"/>
        </w:rPr>
        <w:t>,</w:t>
      </w:r>
      <w:r w:rsidRPr="001270F1">
        <w:rPr>
          <w:rFonts w:ascii="Calibri" w:hAnsi="Calibri" w:cs="Calibri"/>
          <w:color w:val="000000" w:themeColor="text1"/>
        </w:rPr>
        <w:t xml:space="preserve"> integrated SDGED in teacher education programs</w:t>
      </w:r>
      <w:r w:rsidR="00265EEB" w:rsidRPr="001270F1">
        <w:rPr>
          <w:rFonts w:ascii="Calibri" w:hAnsi="Calibri" w:cs="Calibri"/>
          <w:color w:val="000000" w:themeColor="text1"/>
        </w:rPr>
        <w:t xml:space="preserve"> via</w:t>
      </w:r>
      <w:r w:rsidRPr="001270F1">
        <w:rPr>
          <w:rFonts w:ascii="Calibri" w:hAnsi="Calibri" w:cs="Calibri"/>
          <w:color w:val="000000" w:themeColor="text1"/>
        </w:rPr>
        <w:t xml:space="preserve"> teachers’ participation </w:t>
      </w:r>
      <w:r w:rsidR="00265EEB" w:rsidRPr="001270F1">
        <w:rPr>
          <w:rFonts w:ascii="Calibri" w:hAnsi="Calibri" w:cs="Calibri"/>
          <w:color w:val="000000" w:themeColor="text1"/>
        </w:rPr>
        <w:t xml:space="preserve">in </w:t>
      </w:r>
      <w:r w:rsidRPr="001270F1">
        <w:rPr>
          <w:rFonts w:ascii="Calibri" w:hAnsi="Calibri" w:cs="Calibri"/>
          <w:color w:val="000000" w:themeColor="text1"/>
        </w:rPr>
        <w:t>SDG community action projects (UNESCO, 2017). This way</w:t>
      </w:r>
      <w:r w:rsidR="00265EEB" w:rsidRPr="001270F1">
        <w:rPr>
          <w:rFonts w:ascii="Calibri" w:hAnsi="Calibri" w:cs="Calibri"/>
          <w:color w:val="000000" w:themeColor="text1"/>
        </w:rPr>
        <w:t>,</w:t>
      </w:r>
      <w:r w:rsidRPr="001270F1">
        <w:rPr>
          <w:rFonts w:ascii="Calibri" w:hAnsi="Calibri" w:cs="Calibri"/>
          <w:color w:val="000000" w:themeColor="text1"/>
        </w:rPr>
        <w:t xml:space="preserve"> not only </w:t>
      </w:r>
      <w:r w:rsidR="00265EEB" w:rsidRPr="001270F1">
        <w:rPr>
          <w:rFonts w:ascii="Calibri" w:hAnsi="Calibri" w:cs="Calibri"/>
          <w:color w:val="000000" w:themeColor="text1"/>
        </w:rPr>
        <w:t xml:space="preserve">do </w:t>
      </w:r>
      <w:r w:rsidRPr="001270F1">
        <w:rPr>
          <w:rFonts w:ascii="Calibri" w:hAnsi="Calibri" w:cs="Calibri"/>
          <w:color w:val="000000" w:themeColor="text1"/>
        </w:rPr>
        <w:t>they have a real-world implementation experience, but they get to experience localized solutions to global challenges and problems.</w:t>
      </w:r>
    </w:p>
    <w:p w14:paraId="6E67297B" w14:textId="7C2425FA" w:rsidR="00282185" w:rsidRPr="001270F1" w:rsidRDefault="00C31329" w:rsidP="00665090">
      <w:pPr>
        <w:snapToGrid w:val="0"/>
        <w:spacing w:before="120" w:after="120"/>
        <w:ind w:firstLine="720"/>
        <w:jc w:val="both"/>
        <w:rPr>
          <w:rFonts w:ascii="Calibri" w:hAnsi="Calibri" w:cs="Calibri"/>
          <w:color w:val="000000" w:themeColor="text1"/>
        </w:rPr>
      </w:pPr>
      <w:r w:rsidRPr="001270F1">
        <w:rPr>
          <w:rFonts w:ascii="Calibri" w:hAnsi="Calibri" w:cs="Calibri"/>
          <w:color w:val="000000" w:themeColor="text1"/>
        </w:rPr>
        <w:t>Another example that illustrates a more innovative teaching technique that contributes to the SDGs is the Women-Driven Vocational Learning Knowledge Hubs in Tondo, Philippines. Due to limited access to education, especially for females, and socio-economic problems that demand the youngest family members to work and sustain the family’s survival, vocational life skill investments have been set-up in that area. Particularly, vocational life skill investments geared for women-initiated entrepreneurship efforts that help to boost digital literacy and employ</w:t>
      </w:r>
      <w:r w:rsidR="002D5AC3" w:rsidRPr="001270F1">
        <w:rPr>
          <w:rFonts w:ascii="Calibri" w:hAnsi="Calibri" w:cs="Calibri"/>
          <w:color w:val="000000" w:themeColor="text1"/>
        </w:rPr>
        <w:t>ment skills with higher pay</w:t>
      </w:r>
      <w:r w:rsidRPr="001270F1">
        <w:rPr>
          <w:rFonts w:ascii="Calibri" w:hAnsi="Calibri" w:cs="Calibri"/>
          <w:color w:val="000000" w:themeColor="text1"/>
        </w:rPr>
        <w:t xml:space="preserve"> (Fraizer, 2018, 91).</w:t>
      </w:r>
      <w:r w:rsidR="002D5AC3" w:rsidRPr="001270F1">
        <w:rPr>
          <w:rFonts w:ascii="Calibri" w:hAnsi="Calibri" w:cs="Calibri"/>
          <w:color w:val="000000" w:themeColor="text1"/>
        </w:rPr>
        <w:t xml:space="preserve"> </w:t>
      </w:r>
      <w:commentRangeStart w:id="6"/>
      <w:r w:rsidR="002D5AC3" w:rsidRPr="001270F1">
        <w:rPr>
          <w:rFonts w:ascii="Calibri" w:hAnsi="Calibri" w:cs="Calibri"/>
          <w:color w:val="000000" w:themeColor="text1"/>
        </w:rPr>
        <w:t>Likewise, t</w:t>
      </w:r>
      <w:r w:rsidR="003F6559" w:rsidRPr="001270F1">
        <w:rPr>
          <w:rFonts w:ascii="Calibri" w:hAnsi="Calibri" w:cs="Calibri"/>
          <w:color w:val="000000" w:themeColor="text1"/>
        </w:rPr>
        <w:t xml:space="preserve">he Digital Senegal 2016-2025 Strategy has the same goal to </w:t>
      </w:r>
      <w:r w:rsidR="00005219" w:rsidRPr="001270F1">
        <w:rPr>
          <w:rFonts w:ascii="Calibri" w:hAnsi="Calibri" w:cs="Calibri"/>
          <w:color w:val="000000" w:themeColor="text1"/>
        </w:rPr>
        <w:t xml:space="preserve">of </w:t>
      </w:r>
      <w:r w:rsidR="003F6559" w:rsidRPr="001270F1">
        <w:rPr>
          <w:rFonts w:ascii="Calibri" w:hAnsi="Calibri" w:cs="Calibri"/>
          <w:color w:val="000000" w:themeColor="text1"/>
        </w:rPr>
        <w:t>implementing the SDGs</w:t>
      </w:r>
      <w:r w:rsidR="00005219" w:rsidRPr="001270F1">
        <w:rPr>
          <w:rFonts w:ascii="Calibri" w:hAnsi="Calibri" w:cs="Calibri"/>
          <w:color w:val="000000" w:themeColor="text1"/>
        </w:rPr>
        <w:t xml:space="preserve"> through education</w:t>
      </w:r>
      <w:r w:rsidR="003F6559" w:rsidRPr="001270F1">
        <w:rPr>
          <w:rFonts w:ascii="Calibri" w:hAnsi="Calibri" w:cs="Calibri"/>
          <w:color w:val="000000" w:themeColor="text1"/>
        </w:rPr>
        <w:t xml:space="preserve"> in the Senegalese context</w:t>
      </w:r>
      <w:r w:rsidR="00005219" w:rsidRPr="001270F1">
        <w:rPr>
          <w:rFonts w:ascii="Calibri" w:hAnsi="Calibri" w:cs="Calibri"/>
          <w:color w:val="000000" w:themeColor="text1"/>
        </w:rPr>
        <w:t xml:space="preserve"> via</w:t>
      </w:r>
      <w:r w:rsidR="003F6559" w:rsidRPr="001270F1">
        <w:rPr>
          <w:rFonts w:ascii="Calibri" w:hAnsi="Calibri" w:cs="Calibri"/>
          <w:color w:val="000000" w:themeColor="text1"/>
        </w:rPr>
        <w:t xml:space="preserve"> the creation of the Virtual University of Senegal</w:t>
      </w:r>
      <w:r w:rsidR="00005219" w:rsidRPr="001270F1">
        <w:rPr>
          <w:rFonts w:ascii="Calibri" w:hAnsi="Calibri" w:cs="Calibri"/>
          <w:color w:val="000000" w:themeColor="text1"/>
        </w:rPr>
        <w:t>.</w:t>
      </w:r>
      <w:commentRangeEnd w:id="6"/>
      <w:r w:rsidR="00005219" w:rsidRPr="001270F1">
        <w:rPr>
          <w:rStyle w:val="CommentReference"/>
          <w:color w:val="000000" w:themeColor="text1"/>
        </w:rPr>
        <w:commentReference w:id="6"/>
      </w:r>
    </w:p>
    <w:p w14:paraId="4CDBE8DA" w14:textId="311B6EFD" w:rsidR="00005219" w:rsidRPr="001270F1" w:rsidRDefault="00005219" w:rsidP="00665090">
      <w:pPr>
        <w:snapToGrid w:val="0"/>
        <w:spacing w:before="120" w:after="120"/>
        <w:ind w:firstLine="720"/>
        <w:jc w:val="both"/>
        <w:rPr>
          <w:rFonts w:ascii="Calibri" w:hAnsi="Calibri" w:cs="Calibri"/>
          <w:color w:val="000000" w:themeColor="text1"/>
        </w:rPr>
      </w:pPr>
      <w:r w:rsidRPr="001270F1">
        <w:rPr>
          <w:rFonts w:ascii="Calibri" w:hAnsi="Calibri" w:cs="Calibri"/>
          <w:color w:val="000000" w:themeColor="text1"/>
        </w:rPr>
        <w:t xml:space="preserve">Islamic Financing plays a key role in implementing digitization and enabling access to education of women and children in all parts of the world. </w:t>
      </w:r>
      <w:proofErr w:type="spellStart"/>
      <w:r w:rsidRPr="001270F1">
        <w:rPr>
          <w:rFonts w:ascii="Calibri" w:hAnsi="Calibri" w:cs="Calibri"/>
          <w:color w:val="000000" w:themeColor="text1"/>
        </w:rPr>
        <w:t>Maqasid</w:t>
      </w:r>
      <w:proofErr w:type="spellEnd"/>
      <w:r w:rsidRPr="001270F1">
        <w:rPr>
          <w:rFonts w:ascii="Calibri" w:hAnsi="Calibri" w:cs="Calibri"/>
          <w:color w:val="000000" w:themeColor="text1"/>
        </w:rPr>
        <w:t xml:space="preserve"> al-Shariah, the five pillars on which the Islamic Financing framework is built upon, allows for the betterment of various societies, as seen in Tonto. Sadaqah, referring to Posterity, paves the way for institutions to provide access to basic needs for future generations and increase their services' utility and standards. An example of this can be digitization, which allows broader access to the world, education, financial options, healthcare, etc. These facilities further the opportunities for those in low-income areas and other battling poverty, simultaneously enhancing the SDG agenda and creating an atmosphere for systematic change.</w:t>
      </w:r>
    </w:p>
    <w:p w14:paraId="4E8AD57B" w14:textId="3CFB7863" w:rsidR="003B7B87" w:rsidRPr="001270F1" w:rsidRDefault="004F626E" w:rsidP="00665090">
      <w:pPr>
        <w:autoSpaceDE w:val="0"/>
        <w:autoSpaceDN w:val="0"/>
        <w:adjustRightInd w:val="0"/>
        <w:snapToGrid w:val="0"/>
        <w:spacing w:before="120" w:after="120"/>
        <w:ind w:firstLine="360"/>
        <w:jc w:val="both"/>
        <w:rPr>
          <w:rFonts w:ascii="Calibri" w:hAnsi="Calibri" w:cs="Calibri"/>
          <w:color w:val="000000" w:themeColor="text1"/>
        </w:rPr>
      </w:pPr>
      <w:r w:rsidRPr="001270F1">
        <w:rPr>
          <w:rFonts w:ascii="Calibri" w:hAnsi="Calibri" w:cs="Calibri"/>
          <w:color w:val="000000" w:themeColor="text1"/>
        </w:rPr>
        <w:t xml:space="preserve">Digital citizenship is becoming a necessary aspect of global and local citizenship, given the strong role that the digital world and social media play in all aspects of life.  Becoming a digital citizen requires </w:t>
      </w:r>
      <w:r w:rsidR="00005219" w:rsidRPr="001270F1">
        <w:rPr>
          <w:rFonts w:ascii="Calibri" w:hAnsi="Calibri" w:cs="Calibri"/>
          <w:color w:val="000000" w:themeColor="text1"/>
        </w:rPr>
        <w:t>acquiring</w:t>
      </w:r>
      <w:r w:rsidRPr="001270F1">
        <w:rPr>
          <w:rFonts w:ascii="Calibri" w:hAnsi="Calibri" w:cs="Calibri"/>
          <w:color w:val="000000" w:themeColor="text1"/>
        </w:rPr>
        <w:t xml:space="preserve"> knowledge and skills </w:t>
      </w:r>
      <w:r w:rsidR="004C13DC" w:rsidRPr="001270F1">
        <w:rPr>
          <w:rFonts w:ascii="Calibri" w:hAnsi="Calibri" w:cs="Calibri"/>
          <w:color w:val="000000" w:themeColor="text1"/>
        </w:rPr>
        <w:t xml:space="preserve">of </w:t>
      </w:r>
      <w:r w:rsidRPr="001270F1">
        <w:rPr>
          <w:rFonts w:ascii="Calibri" w:hAnsi="Calibri" w:cs="Calibri"/>
          <w:color w:val="000000" w:themeColor="text1"/>
        </w:rPr>
        <w:t>responsible communication</w:t>
      </w:r>
      <w:r w:rsidR="00005219" w:rsidRPr="001270F1">
        <w:rPr>
          <w:rFonts w:ascii="Calibri" w:hAnsi="Calibri" w:cs="Calibri"/>
          <w:color w:val="000000" w:themeColor="text1"/>
        </w:rPr>
        <w:t xml:space="preserve"> in</w:t>
      </w:r>
      <w:r w:rsidRPr="001270F1">
        <w:rPr>
          <w:rFonts w:ascii="Calibri" w:hAnsi="Calibri" w:cs="Calibri"/>
          <w:color w:val="000000" w:themeColor="text1"/>
        </w:rPr>
        <w:t xml:space="preserve"> social </w:t>
      </w:r>
      <w:r w:rsidR="00005219" w:rsidRPr="001270F1">
        <w:rPr>
          <w:rFonts w:ascii="Calibri" w:hAnsi="Calibri" w:cs="Calibri"/>
          <w:color w:val="000000" w:themeColor="text1"/>
        </w:rPr>
        <w:t>organization</w:t>
      </w:r>
      <w:r w:rsidRPr="001270F1">
        <w:rPr>
          <w:rFonts w:ascii="Calibri" w:hAnsi="Calibri" w:cs="Calibri"/>
          <w:color w:val="000000" w:themeColor="text1"/>
        </w:rPr>
        <w:t>, social relationship</w:t>
      </w:r>
      <w:r w:rsidR="004C13DC" w:rsidRPr="001270F1">
        <w:rPr>
          <w:rFonts w:ascii="Calibri" w:hAnsi="Calibri" w:cs="Calibri"/>
          <w:color w:val="000000" w:themeColor="text1"/>
        </w:rPr>
        <w:t>s</w:t>
      </w:r>
      <w:r w:rsidRPr="001270F1">
        <w:rPr>
          <w:rFonts w:ascii="Calibri" w:hAnsi="Calibri" w:cs="Calibri"/>
          <w:color w:val="000000" w:themeColor="text1"/>
        </w:rPr>
        <w:t>, political involvement, education</w:t>
      </w:r>
      <w:r w:rsidR="004C13DC" w:rsidRPr="001270F1">
        <w:rPr>
          <w:rFonts w:ascii="Calibri" w:hAnsi="Calibri" w:cs="Calibri"/>
          <w:color w:val="000000" w:themeColor="text1"/>
        </w:rPr>
        <w:t>al platform,</w:t>
      </w:r>
      <w:r w:rsidRPr="001270F1">
        <w:rPr>
          <w:rFonts w:ascii="Calibri" w:hAnsi="Calibri" w:cs="Calibri"/>
          <w:color w:val="000000" w:themeColor="text1"/>
        </w:rPr>
        <w:t xml:space="preserve"> and </w:t>
      </w:r>
      <w:r w:rsidR="004C13DC" w:rsidRPr="001270F1">
        <w:rPr>
          <w:rFonts w:ascii="Calibri" w:hAnsi="Calibri" w:cs="Calibri"/>
          <w:color w:val="000000" w:themeColor="text1"/>
        </w:rPr>
        <w:t xml:space="preserve">the </w:t>
      </w:r>
      <w:r w:rsidRPr="001270F1">
        <w:rPr>
          <w:rFonts w:ascii="Calibri" w:hAnsi="Calibri" w:cs="Calibri"/>
          <w:color w:val="000000" w:themeColor="text1"/>
        </w:rPr>
        <w:t>work</w:t>
      </w:r>
      <w:r w:rsidR="004C13DC" w:rsidRPr="001270F1">
        <w:rPr>
          <w:rFonts w:ascii="Calibri" w:hAnsi="Calibri" w:cs="Calibri"/>
          <w:color w:val="000000" w:themeColor="text1"/>
        </w:rPr>
        <w:t>ing</w:t>
      </w:r>
      <w:r w:rsidRPr="001270F1">
        <w:rPr>
          <w:rFonts w:ascii="Calibri" w:hAnsi="Calibri" w:cs="Calibri"/>
          <w:color w:val="000000" w:themeColor="text1"/>
        </w:rPr>
        <w:t xml:space="preserve"> world (Baldwin-Philippi, 2015). </w:t>
      </w:r>
      <w:r w:rsidR="003B7B87" w:rsidRPr="001270F1">
        <w:rPr>
          <w:rFonts w:ascii="Calibri" w:hAnsi="Calibri" w:cs="Calibri"/>
          <w:color w:val="000000" w:themeColor="text1"/>
        </w:rPr>
        <w:t>Being a good digital citizen requires ethical principles</w:t>
      </w:r>
      <w:r w:rsidR="004C13DC" w:rsidRPr="001270F1">
        <w:rPr>
          <w:rFonts w:ascii="Calibri" w:hAnsi="Calibri" w:cs="Calibri"/>
          <w:color w:val="000000" w:themeColor="text1"/>
        </w:rPr>
        <w:t>,</w:t>
      </w:r>
      <w:r w:rsidR="003B7B87" w:rsidRPr="001270F1">
        <w:rPr>
          <w:rFonts w:ascii="Calibri" w:hAnsi="Calibri" w:cs="Calibri"/>
          <w:color w:val="000000" w:themeColor="text1"/>
        </w:rPr>
        <w:t xml:space="preserve"> </w:t>
      </w:r>
      <w:r w:rsidR="003B7B87" w:rsidRPr="001270F1">
        <w:rPr>
          <w:rFonts w:ascii="Calibri" w:hAnsi="Calibri" w:cs="Calibri"/>
          <w:color w:val="000000" w:themeColor="text1"/>
        </w:rPr>
        <w:lastRenderedPageBreak/>
        <w:t xml:space="preserve">moral practices, </w:t>
      </w:r>
      <w:r w:rsidR="004C13DC" w:rsidRPr="001270F1">
        <w:rPr>
          <w:rFonts w:ascii="Calibri" w:hAnsi="Calibri" w:cs="Calibri"/>
          <w:color w:val="000000" w:themeColor="text1"/>
        </w:rPr>
        <w:t xml:space="preserve">and </w:t>
      </w:r>
      <w:r w:rsidR="003B7B87" w:rsidRPr="001270F1">
        <w:rPr>
          <w:rFonts w:ascii="Calibri" w:hAnsi="Calibri" w:cs="Calibri"/>
          <w:color w:val="000000" w:themeColor="text1"/>
        </w:rPr>
        <w:t xml:space="preserve">responsible uses of the cyberworld for oneself </w:t>
      </w:r>
      <w:r w:rsidR="004C13DC" w:rsidRPr="001270F1">
        <w:rPr>
          <w:rFonts w:ascii="Calibri" w:hAnsi="Calibri" w:cs="Calibri"/>
          <w:color w:val="000000" w:themeColor="text1"/>
        </w:rPr>
        <w:t>in</w:t>
      </w:r>
      <w:r w:rsidR="003B7B87" w:rsidRPr="001270F1">
        <w:rPr>
          <w:rFonts w:ascii="Calibri" w:hAnsi="Calibri" w:cs="Calibri"/>
          <w:color w:val="000000" w:themeColor="text1"/>
        </w:rPr>
        <w:t xml:space="preserve"> one’s community</w:t>
      </w:r>
      <w:r w:rsidR="004C13DC" w:rsidRPr="001270F1">
        <w:rPr>
          <w:rFonts w:ascii="Calibri" w:hAnsi="Calibri" w:cs="Calibri"/>
          <w:color w:val="000000" w:themeColor="text1"/>
        </w:rPr>
        <w:t xml:space="preserve"> and</w:t>
      </w:r>
      <w:r w:rsidR="003B7B87" w:rsidRPr="001270F1">
        <w:rPr>
          <w:rFonts w:ascii="Calibri" w:hAnsi="Calibri" w:cs="Calibri"/>
          <w:color w:val="000000" w:themeColor="text1"/>
        </w:rPr>
        <w:t xml:space="preserve"> the greater global world.</w:t>
      </w:r>
    </w:p>
    <w:p w14:paraId="1191901A" w14:textId="7CC1BB10" w:rsidR="0047122B" w:rsidRPr="001270F1" w:rsidRDefault="004F626E" w:rsidP="00665090">
      <w:pPr>
        <w:autoSpaceDE w:val="0"/>
        <w:autoSpaceDN w:val="0"/>
        <w:adjustRightInd w:val="0"/>
        <w:snapToGrid w:val="0"/>
        <w:spacing w:before="120" w:after="120"/>
        <w:ind w:firstLine="360"/>
        <w:jc w:val="both"/>
        <w:rPr>
          <w:rFonts w:ascii="Calibri" w:hAnsi="Calibri" w:cs="Calibri"/>
          <w:color w:val="000000" w:themeColor="text1"/>
        </w:rPr>
      </w:pPr>
      <w:r w:rsidRPr="001270F1">
        <w:rPr>
          <w:rFonts w:ascii="Calibri" w:hAnsi="Calibri" w:cs="Calibri"/>
          <w:color w:val="000000" w:themeColor="text1"/>
        </w:rPr>
        <w:t>Digital citizenship has also become a new dimension of learning in educational organi</w:t>
      </w:r>
      <w:r w:rsidR="00005219" w:rsidRPr="001270F1">
        <w:rPr>
          <w:rFonts w:ascii="Calibri" w:hAnsi="Calibri" w:cs="Calibri"/>
          <w:color w:val="000000" w:themeColor="text1"/>
        </w:rPr>
        <w:t>z</w:t>
      </w:r>
      <w:r w:rsidRPr="001270F1">
        <w:rPr>
          <w:rFonts w:ascii="Calibri" w:hAnsi="Calibri" w:cs="Calibri"/>
          <w:color w:val="000000" w:themeColor="text1"/>
        </w:rPr>
        <w:t>ations</w:t>
      </w:r>
      <w:r w:rsidR="00985D5B" w:rsidRPr="001270F1">
        <w:rPr>
          <w:rFonts w:ascii="Calibri" w:hAnsi="Calibri" w:cs="Calibri"/>
          <w:color w:val="000000" w:themeColor="text1"/>
        </w:rPr>
        <w:t>,</w:t>
      </w:r>
      <w:r w:rsidRPr="001270F1">
        <w:rPr>
          <w:rFonts w:ascii="Calibri" w:hAnsi="Calibri" w:cs="Calibri"/>
          <w:color w:val="000000" w:themeColor="text1"/>
        </w:rPr>
        <w:t xml:space="preserve"> for faculty</w:t>
      </w:r>
      <w:r w:rsidR="00005219" w:rsidRPr="001270F1">
        <w:rPr>
          <w:rFonts w:ascii="Calibri" w:hAnsi="Calibri" w:cs="Calibri"/>
          <w:color w:val="000000" w:themeColor="text1"/>
        </w:rPr>
        <w:t xml:space="preserve"> members</w:t>
      </w:r>
      <w:r w:rsidRPr="001270F1">
        <w:rPr>
          <w:rFonts w:ascii="Calibri" w:hAnsi="Calibri" w:cs="Calibri"/>
          <w:color w:val="000000" w:themeColor="text1"/>
        </w:rPr>
        <w:t xml:space="preserve">, </w:t>
      </w:r>
      <w:r w:rsidR="00567D81" w:rsidRPr="001270F1">
        <w:rPr>
          <w:rFonts w:ascii="Calibri" w:hAnsi="Calibri" w:cs="Calibri"/>
          <w:color w:val="000000" w:themeColor="text1"/>
        </w:rPr>
        <w:t xml:space="preserve">research </w:t>
      </w:r>
      <w:r w:rsidRPr="001270F1">
        <w:rPr>
          <w:rFonts w:ascii="Calibri" w:hAnsi="Calibri" w:cs="Calibri"/>
          <w:color w:val="000000" w:themeColor="text1"/>
        </w:rPr>
        <w:t>staff, administrators, parents</w:t>
      </w:r>
      <w:r w:rsidR="00005219" w:rsidRPr="001270F1">
        <w:rPr>
          <w:rFonts w:ascii="Calibri" w:hAnsi="Calibri" w:cs="Calibri"/>
          <w:color w:val="000000" w:themeColor="text1"/>
        </w:rPr>
        <w:t>,</w:t>
      </w:r>
      <w:r w:rsidRPr="001270F1">
        <w:rPr>
          <w:rFonts w:ascii="Calibri" w:hAnsi="Calibri" w:cs="Calibri"/>
          <w:color w:val="000000" w:themeColor="text1"/>
        </w:rPr>
        <w:t xml:space="preserve"> and related organi</w:t>
      </w:r>
      <w:r w:rsidR="00005219" w:rsidRPr="001270F1">
        <w:rPr>
          <w:rFonts w:ascii="Calibri" w:hAnsi="Calibri" w:cs="Calibri"/>
          <w:color w:val="000000" w:themeColor="text1"/>
        </w:rPr>
        <w:t>z</w:t>
      </w:r>
      <w:r w:rsidRPr="001270F1">
        <w:rPr>
          <w:rFonts w:ascii="Calibri" w:hAnsi="Calibri" w:cs="Calibri"/>
          <w:color w:val="000000" w:themeColor="text1"/>
        </w:rPr>
        <w:t xml:space="preserve">ations, </w:t>
      </w:r>
      <w:r w:rsidR="00985D5B" w:rsidRPr="001270F1">
        <w:rPr>
          <w:rFonts w:ascii="Calibri" w:hAnsi="Calibri" w:cs="Calibri"/>
          <w:color w:val="000000" w:themeColor="text1"/>
        </w:rPr>
        <w:t xml:space="preserve">by </w:t>
      </w:r>
      <w:r w:rsidRPr="001270F1">
        <w:rPr>
          <w:rFonts w:ascii="Calibri" w:hAnsi="Calibri" w:cs="Calibri"/>
          <w:color w:val="000000" w:themeColor="text1"/>
        </w:rPr>
        <w:t xml:space="preserve">requiring its inclusion in educational </w:t>
      </w:r>
      <w:r w:rsidR="00985D5B" w:rsidRPr="001270F1">
        <w:rPr>
          <w:rFonts w:ascii="Calibri" w:hAnsi="Calibri" w:cs="Calibri"/>
          <w:color w:val="000000" w:themeColor="text1"/>
        </w:rPr>
        <w:t xml:space="preserve">and teaching </w:t>
      </w:r>
      <w:r w:rsidRPr="001270F1">
        <w:rPr>
          <w:rFonts w:ascii="Calibri" w:hAnsi="Calibri" w:cs="Calibri"/>
          <w:color w:val="000000" w:themeColor="text1"/>
        </w:rPr>
        <w:t>goals (Bearden, 2016).</w:t>
      </w:r>
      <w:r w:rsidR="005544C3" w:rsidRPr="001270F1">
        <w:rPr>
          <w:rFonts w:ascii="Calibri" w:hAnsi="Calibri" w:cs="Calibri"/>
          <w:color w:val="000000" w:themeColor="text1"/>
        </w:rPr>
        <w:t xml:space="preserve"> </w:t>
      </w:r>
      <w:r w:rsidR="00C30E70" w:rsidRPr="001270F1">
        <w:rPr>
          <w:rFonts w:ascii="Calibri" w:hAnsi="Calibri" w:cs="Calibri"/>
          <w:color w:val="000000" w:themeColor="text1"/>
        </w:rPr>
        <w:t xml:space="preserve">It also </w:t>
      </w:r>
      <w:r w:rsidR="00C8312F" w:rsidRPr="001270F1">
        <w:rPr>
          <w:rFonts w:ascii="Calibri" w:hAnsi="Calibri" w:cs="Calibri"/>
          <w:color w:val="000000" w:themeColor="text1"/>
        </w:rPr>
        <w:t xml:space="preserve">includes </w:t>
      </w:r>
      <w:r w:rsidR="0047122B" w:rsidRPr="001270F1">
        <w:rPr>
          <w:rFonts w:ascii="Calibri" w:hAnsi="Calibri" w:cs="Calibri"/>
          <w:color w:val="000000" w:themeColor="text1"/>
        </w:rPr>
        <w:t xml:space="preserve">building curriculum and pedagogical practices that effectively prepare </w:t>
      </w:r>
      <w:r w:rsidR="00C30E70" w:rsidRPr="001270F1">
        <w:rPr>
          <w:rFonts w:ascii="Calibri" w:hAnsi="Calibri" w:cs="Calibri"/>
          <w:color w:val="000000" w:themeColor="text1"/>
        </w:rPr>
        <w:t>stakeholders</w:t>
      </w:r>
      <w:r w:rsidR="0047122B" w:rsidRPr="001270F1">
        <w:rPr>
          <w:rFonts w:ascii="Calibri" w:hAnsi="Calibri" w:cs="Calibri"/>
          <w:color w:val="000000" w:themeColor="text1"/>
        </w:rPr>
        <w:t xml:space="preserve"> for participation in civic practices at local, regional</w:t>
      </w:r>
      <w:r w:rsidR="00C30E70" w:rsidRPr="001270F1">
        <w:rPr>
          <w:rFonts w:ascii="Calibri" w:hAnsi="Calibri" w:cs="Calibri"/>
          <w:color w:val="000000" w:themeColor="text1"/>
        </w:rPr>
        <w:t>,</w:t>
      </w:r>
      <w:r w:rsidR="0047122B" w:rsidRPr="001270F1">
        <w:rPr>
          <w:rFonts w:ascii="Calibri" w:hAnsi="Calibri" w:cs="Calibri"/>
          <w:color w:val="000000" w:themeColor="text1"/>
        </w:rPr>
        <w:t xml:space="preserve"> and international levels (Ribble &amp; Park, 2019) that enhance strategic educational development.</w:t>
      </w:r>
      <w:r w:rsidR="006E4397" w:rsidRPr="001270F1">
        <w:rPr>
          <w:rFonts w:ascii="Calibri" w:hAnsi="Calibri" w:cs="Calibri"/>
          <w:color w:val="000000" w:themeColor="text1"/>
        </w:rPr>
        <w:t xml:space="preserve"> </w:t>
      </w:r>
    </w:p>
    <w:p w14:paraId="32A3F969" w14:textId="2CA5FD76" w:rsidR="004F626E" w:rsidRPr="001270F1" w:rsidRDefault="004F626E" w:rsidP="00665090">
      <w:pPr>
        <w:autoSpaceDE w:val="0"/>
        <w:autoSpaceDN w:val="0"/>
        <w:adjustRightInd w:val="0"/>
        <w:snapToGrid w:val="0"/>
        <w:spacing w:before="120" w:after="120"/>
        <w:ind w:firstLine="360"/>
        <w:jc w:val="both"/>
        <w:rPr>
          <w:rFonts w:ascii="Calibri" w:hAnsi="Calibri" w:cs="Calibri"/>
          <w:color w:val="000000" w:themeColor="text1"/>
        </w:rPr>
      </w:pPr>
      <w:r w:rsidRPr="001270F1">
        <w:rPr>
          <w:rFonts w:ascii="Calibri" w:hAnsi="Calibri" w:cs="Calibri"/>
          <w:color w:val="000000" w:themeColor="text1"/>
        </w:rPr>
        <w:t xml:space="preserve">A recent research report, by </w:t>
      </w:r>
      <w:proofErr w:type="spellStart"/>
      <w:r w:rsidRPr="001270F1">
        <w:rPr>
          <w:rFonts w:ascii="Calibri" w:hAnsi="Calibri" w:cs="Calibri"/>
          <w:color w:val="000000" w:themeColor="text1"/>
        </w:rPr>
        <w:t>Welply</w:t>
      </w:r>
      <w:proofErr w:type="spellEnd"/>
      <w:r w:rsidRPr="001270F1">
        <w:rPr>
          <w:rFonts w:ascii="Calibri" w:hAnsi="Calibri" w:cs="Calibri"/>
          <w:color w:val="000000" w:themeColor="text1"/>
        </w:rPr>
        <w:t xml:space="preserve">, O., </w:t>
      </w:r>
      <w:proofErr w:type="spellStart"/>
      <w:r w:rsidRPr="001270F1">
        <w:rPr>
          <w:rFonts w:ascii="Calibri" w:hAnsi="Calibri" w:cs="Calibri"/>
          <w:color w:val="000000" w:themeColor="text1"/>
        </w:rPr>
        <w:t>Taamouti</w:t>
      </w:r>
      <w:proofErr w:type="spellEnd"/>
      <w:r w:rsidRPr="001270F1">
        <w:rPr>
          <w:rFonts w:ascii="Calibri" w:hAnsi="Calibri" w:cs="Calibri"/>
          <w:color w:val="000000" w:themeColor="text1"/>
        </w:rPr>
        <w:t xml:space="preserve">, A., &amp; Font, G. B. (2019), </w:t>
      </w:r>
      <w:r w:rsidRPr="001270F1">
        <w:rPr>
          <w:rFonts w:ascii="Calibri" w:hAnsi="Calibri" w:cs="Calibri"/>
          <w:i/>
          <w:iCs/>
          <w:color w:val="000000" w:themeColor="text1"/>
        </w:rPr>
        <w:t>Evaluating the Impact of Global Citizenship Education on Young People's Attitudes Towards Equality, Diversity and Tolerance</w:t>
      </w:r>
      <w:r w:rsidR="00C30E70" w:rsidRPr="001270F1">
        <w:rPr>
          <w:rFonts w:ascii="Calibri" w:hAnsi="Calibri" w:cs="Calibri"/>
          <w:i/>
          <w:iCs/>
          <w:color w:val="000000" w:themeColor="text1"/>
        </w:rPr>
        <w:t>,</w:t>
      </w:r>
      <w:r w:rsidRPr="001270F1">
        <w:rPr>
          <w:rFonts w:ascii="Calibri" w:hAnsi="Calibri" w:cs="Calibri"/>
          <w:color w:val="000000" w:themeColor="text1"/>
        </w:rPr>
        <w:t xml:space="preserve"> intended to address topics involving the implementation, measurement, and success of Global Citizenship Education (GCE) as a reaction to the global obstacles of the twenty</w:t>
      </w:r>
      <w:r w:rsidR="00C30E70" w:rsidRPr="001270F1">
        <w:rPr>
          <w:rFonts w:ascii="Calibri" w:hAnsi="Calibri" w:cs="Calibri"/>
          <w:color w:val="000000" w:themeColor="text1"/>
        </w:rPr>
        <w:t>-</w:t>
      </w:r>
      <w:r w:rsidRPr="001270F1">
        <w:rPr>
          <w:rFonts w:ascii="Calibri" w:hAnsi="Calibri" w:cs="Calibri"/>
          <w:color w:val="000000" w:themeColor="text1"/>
        </w:rPr>
        <w:t xml:space="preserve">first century by examining worldwide education policies, curricula, and scholarly work on global citizenship education. The research utilized data from the International Association for the Evaluation of Educational Achievement (IEA) involving a large-scale global comparative study that examines the ways in which lower secondary school students are prepared to tackle their responsibilities as citizens. The research analyzed civic and citizenship education (CCE) data </w:t>
      </w:r>
      <w:r w:rsidR="00C30E70" w:rsidRPr="001270F1">
        <w:rPr>
          <w:rFonts w:ascii="Calibri" w:hAnsi="Calibri" w:cs="Calibri"/>
          <w:color w:val="000000" w:themeColor="text1"/>
        </w:rPr>
        <w:t xml:space="preserve">from </w:t>
      </w:r>
      <w:r w:rsidRPr="001270F1">
        <w:rPr>
          <w:rFonts w:ascii="Calibri" w:hAnsi="Calibri" w:cs="Calibri"/>
          <w:color w:val="000000" w:themeColor="text1"/>
        </w:rPr>
        <w:t>23 countries</w:t>
      </w:r>
      <w:r w:rsidR="00C30E70" w:rsidRPr="001270F1">
        <w:rPr>
          <w:rFonts w:ascii="Calibri" w:hAnsi="Calibri" w:cs="Calibri"/>
          <w:color w:val="000000" w:themeColor="text1"/>
        </w:rPr>
        <w:t xml:space="preserve"> and identified</w:t>
      </w:r>
      <w:r w:rsidRPr="001270F1">
        <w:rPr>
          <w:rFonts w:ascii="Calibri" w:hAnsi="Calibri" w:cs="Calibri"/>
          <w:color w:val="000000" w:themeColor="text1"/>
        </w:rPr>
        <w:t xml:space="preserve"> </w:t>
      </w:r>
      <w:r w:rsidR="00C30E70" w:rsidRPr="001270F1">
        <w:rPr>
          <w:rFonts w:ascii="Calibri" w:hAnsi="Calibri" w:cs="Calibri"/>
          <w:color w:val="000000" w:themeColor="text1"/>
        </w:rPr>
        <w:t xml:space="preserve">six </w:t>
      </w:r>
      <w:r w:rsidRPr="001270F1">
        <w:rPr>
          <w:rFonts w:ascii="Calibri" w:hAnsi="Calibri" w:cs="Calibri"/>
          <w:color w:val="000000" w:themeColor="text1"/>
        </w:rPr>
        <w:t>areas of global competencies, which are:</w:t>
      </w:r>
    </w:p>
    <w:p w14:paraId="57A4036A" w14:textId="77777777" w:rsidR="004F626E" w:rsidRPr="001270F1" w:rsidRDefault="004F626E" w:rsidP="00665090">
      <w:pPr>
        <w:numPr>
          <w:ilvl w:val="0"/>
          <w:numId w:val="3"/>
        </w:numPr>
        <w:autoSpaceDE w:val="0"/>
        <w:autoSpaceDN w:val="0"/>
        <w:adjustRightInd w:val="0"/>
        <w:snapToGrid w:val="0"/>
        <w:spacing w:before="120" w:after="120"/>
        <w:jc w:val="both"/>
        <w:rPr>
          <w:rFonts w:ascii="Calibri" w:hAnsi="Calibri" w:cs="Calibri"/>
          <w:color w:val="000000" w:themeColor="text1"/>
        </w:rPr>
      </w:pPr>
      <w:r w:rsidRPr="001270F1">
        <w:rPr>
          <w:rFonts w:ascii="Calibri" w:hAnsi="Calibri" w:cs="Calibri"/>
          <w:color w:val="000000" w:themeColor="text1"/>
        </w:rPr>
        <w:t>Capacity for critical and independent thinking</w:t>
      </w:r>
    </w:p>
    <w:p w14:paraId="4A23E448" w14:textId="77777777" w:rsidR="004F626E" w:rsidRPr="001270F1" w:rsidRDefault="004F626E" w:rsidP="00665090">
      <w:pPr>
        <w:numPr>
          <w:ilvl w:val="0"/>
          <w:numId w:val="3"/>
        </w:numPr>
        <w:autoSpaceDE w:val="0"/>
        <w:autoSpaceDN w:val="0"/>
        <w:adjustRightInd w:val="0"/>
        <w:snapToGrid w:val="0"/>
        <w:spacing w:before="120" w:after="120"/>
        <w:jc w:val="both"/>
        <w:rPr>
          <w:rFonts w:ascii="Calibri" w:hAnsi="Calibri" w:cs="Calibri"/>
          <w:color w:val="000000" w:themeColor="text1"/>
        </w:rPr>
      </w:pPr>
      <w:r w:rsidRPr="001270F1">
        <w:rPr>
          <w:rFonts w:ascii="Calibri" w:hAnsi="Calibri" w:cs="Calibri"/>
          <w:color w:val="000000" w:themeColor="text1"/>
        </w:rPr>
        <w:t>Respect for diversity and intercultural understanding</w:t>
      </w:r>
    </w:p>
    <w:p w14:paraId="5DF971C6" w14:textId="77777777" w:rsidR="004F626E" w:rsidRPr="001270F1" w:rsidRDefault="004F626E" w:rsidP="00665090">
      <w:pPr>
        <w:numPr>
          <w:ilvl w:val="0"/>
          <w:numId w:val="3"/>
        </w:numPr>
        <w:autoSpaceDE w:val="0"/>
        <w:autoSpaceDN w:val="0"/>
        <w:adjustRightInd w:val="0"/>
        <w:snapToGrid w:val="0"/>
        <w:spacing w:before="120" w:after="120"/>
        <w:jc w:val="both"/>
        <w:rPr>
          <w:rFonts w:ascii="Calibri" w:hAnsi="Calibri" w:cs="Calibri"/>
          <w:color w:val="000000" w:themeColor="text1"/>
        </w:rPr>
      </w:pPr>
      <w:r w:rsidRPr="001270F1">
        <w:rPr>
          <w:rFonts w:ascii="Calibri" w:hAnsi="Calibri" w:cs="Calibri"/>
          <w:color w:val="000000" w:themeColor="text1"/>
        </w:rPr>
        <w:t xml:space="preserve">Respect for the values of equality, tolerance, </w:t>
      </w:r>
      <w:r w:rsidRPr="001270F1">
        <w:rPr>
          <w:rFonts w:ascii="Calibri" w:hAnsi="Calibri" w:cs="Calibri"/>
          <w:bCs/>
          <w:color w:val="000000" w:themeColor="text1"/>
        </w:rPr>
        <w:t>human</w:t>
      </w:r>
      <w:r w:rsidRPr="001270F1">
        <w:rPr>
          <w:rFonts w:ascii="Calibri" w:hAnsi="Calibri" w:cs="Calibri"/>
          <w:color w:val="000000" w:themeColor="text1"/>
        </w:rPr>
        <w:t xml:space="preserve"> rights, peace, inclusion and justice</w:t>
      </w:r>
    </w:p>
    <w:p w14:paraId="458EAE0B" w14:textId="77777777" w:rsidR="004F626E" w:rsidRPr="001270F1" w:rsidRDefault="004F626E" w:rsidP="00665090">
      <w:pPr>
        <w:numPr>
          <w:ilvl w:val="0"/>
          <w:numId w:val="3"/>
        </w:numPr>
        <w:autoSpaceDE w:val="0"/>
        <w:autoSpaceDN w:val="0"/>
        <w:adjustRightInd w:val="0"/>
        <w:snapToGrid w:val="0"/>
        <w:spacing w:before="120" w:after="120"/>
        <w:jc w:val="both"/>
        <w:rPr>
          <w:rFonts w:ascii="Calibri" w:hAnsi="Calibri" w:cs="Calibri"/>
          <w:color w:val="000000" w:themeColor="text1"/>
        </w:rPr>
      </w:pPr>
      <w:r w:rsidRPr="001270F1">
        <w:rPr>
          <w:rFonts w:ascii="Calibri" w:hAnsi="Calibri" w:cs="Calibri"/>
          <w:color w:val="000000" w:themeColor="text1"/>
        </w:rPr>
        <w:t>Awareness of global issues</w:t>
      </w:r>
    </w:p>
    <w:p w14:paraId="0DB7B22B" w14:textId="77777777" w:rsidR="004F626E" w:rsidRPr="001270F1" w:rsidRDefault="004F626E" w:rsidP="00665090">
      <w:pPr>
        <w:numPr>
          <w:ilvl w:val="0"/>
          <w:numId w:val="3"/>
        </w:numPr>
        <w:autoSpaceDE w:val="0"/>
        <w:autoSpaceDN w:val="0"/>
        <w:adjustRightInd w:val="0"/>
        <w:snapToGrid w:val="0"/>
        <w:spacing w:before="120" w:after="120"/>
        <w:jc w:val="both"/>
        <w:rPr>
          <w:rFonts w:ascii="Calibri" w:hAnsi="Calibri" w:cs="Calibri"/>
          <w:color w:val="000000" w:themeColor="text1"/>
        </w:rPr>
      </w:pPr>
      <w:r w:rsidRPr="001270F1">
        <w:rPr>
          <w:rFonts w:ascii="Calibri" w:hAnsi="Calibri" w:cs="Calibri"/>
          <w:color w:val="000000" w:themeColor="text1"/>
        </w:rPr>
        <w:t xml:space="preserve">Recognition of </w:t>
      </w:r>
      <w:r w:rsidRPr="001270F1">
        <w:rPr>
          <w:rFonts w:ascii="Calibri" w:hAnsi="Calibri" w:cs="Calibri"/>
          <w:bCs/>
          <w:color w:val="000000" w:themeColor="text1"/>
        </w:rPr>
        <w:t>interconnectedness</w:t>
      </w:r>
      <w:r w:rsidRPr="001270F1">
        <w:rPr>
          <w:rFonts w:ascii="Calibri" w:hAnsi="Calibri" w:cs="Calibri"/>
          <w:color w:val="000000" w:themeColor="text1"/>
        </w:rPr>
        <w:t xml:space="preserve"> between people and communities</w:t>
      </w:r>
    </w:p>
    <w:p w14:paraId="79810B40" w14:textId="273EA78D" w:rsidR="004F626E" w:rsidRPr="001270F1" w:rsidRDefault="004F626E" w:rsidP="00665090">
      <w:pPr>
        <w:numPr>
          <w:ilvl w:val="0"/>
          <w:numId w:val="3"/>
        </w:numPr>
        <w:autoSpaceDE w:val="0"/>
        <w:autoSpaceDN w:val="0"/>
        <w:adjustRightInd w:val="0"/>
        <w:snapToGrid w:val="0"/>
        <w:spacing w:before="120" w:after="120"/>
        <w:jc w:val="both"/>
        <w:rPr>
          <w:rFonts w:ascii="Calibri" w:hAnsi="Calibri" w:cs="Calibri"/>
          <w:color w:val="000000" w:themeColor="text1"/>
        </w:rPr>
      </w:pPr>
      <w:r w:rsidRPr="001270F1">
        <w:rPr>
          <w:rFonts w:ascii="Calibri" w:hAnsi="Calibri" w:cs="Calibri"/>
          <w:color w:val="000000" w:themeColor="text1"/>
        </w:rPr>
        <w:t>Capacity to get engaged and take action</w:t>
      </w:r>
    </w:p>
    <w:p w14:paraId="25FD4C78" w14:textId="042A340C" w:rsidR="004F626E" w:rsidRPr="001270F1" w:rsidRDefault="00DB47B4" w:rsidP="00665090">
      <w:pPr>
        <w:autoSpaceDE w:val="0"/>
        <w:autoSpaceDN w:val="0"/>
        <w:adjustRightInd w:val="0"/>
        <w:snapToGrid w:val="0"/>
        <w:spacing w:before="120" w:after="120"/>
        <w:ind w:firstLine="360"/>
        <w:jc w:val="both"/>
        <w:rPr>
          <w:rFonts w:ascii="Calibri" w:hAnsi="Calibri" w:cs="Calibri"/>
          <w:bCs/>
          <w:color w:val="000000" w:themeColor="text1"/>
        </w:rPr>
      </w:pPr>
      <w:r w:rsidRPr="001270F1">
        <w:rPr>
          <w:rFonts w:ascii="Calibri" w:hAnsi="Calibri" w:cs="Calibri"/>
          <w:bCs/>
          <w:color w:val="000000" w:themeColor="text1"/>
        </w:rPr>
        <w:t xml:space="preserve">Within </w:t>
      </w:r>
      <w:r w:rsidR="004F626E" w:rsidRPr="001270F1">
        <w:rPr>
          <w:rFonts w:ascii="Calibri" w:hAnsi="Calibri" w:cs="Calibri"/>
          <w:bCs/>
          <w:color w:val="000000" w:themeColor="text1"/>
        </w:rPr>
        <w:t xml:space="preserve">this scope, </w:t>
      </w:r>
      <w:r w:rsidRPr="001270F1">
        <w:rPr>
          <w:rFonts w:ascii="Calibri" w:hAnsi="Calibri" w:cs="Calibri"/>
          <w:bCs/>
          <w:color w:val="000000" w:themeColor="text1"/>
        </w:rPr>
        <w:t xml:space="preserve">many countries started to incorporate GCE into their curricula (Yemini, 2017) </w:t>
      </w:r>
      <w:r w:rsidR="004F626E" w:rsidRPr="001270F1">
        <w:rPr>
          <w:rFonts w:ascii="Calibri" w:hAnsi="Calibri" w:cs="Calibri"/>
          <w:bCs/>
          <w:color w:val="000000" w:themeColor="text1"/>
        </w:rPr>
        <w:t>in order to equip their students with global competencies</w:t>
      </w:r>
      <w:r w:rsidRPr="001270F1">
        <w:rPr>
          <w:rFonts w:ascii="Calibri" w:hAnsi="Calibri" w:cs="Calibri"/>
          <w:bCs/>
          <w:color w:val="000000" w:themeColor="text1"/>
        </w:rPr>
        <w:t xml:space="preserve"> and </w:t>
      </w:r>
      <w:r w:rsidR="004F626E" w:rsidRPr="001270F1">
        <w:rPr>
          <w:rFonts w:ascii="Calibri" w:hAnsi="Calibri" w:cs="Calibri"/>
          <w:bCs/>
          <w:color w:val="000000" w:themeColor="text1"/>
        </w:rPr>
        <w:t>skills to compete in the global society and global consciousness, which includes empathy, cultural sensitivity</w:t>
      </w:r>
      <w:r w:rsidRPr="001270F1">
        <w:rPr>
          <w:rFonts w:ascii="Calibri" w:hAnsi="Calibri" w:cs="Calibri"/>
          <w:bCs/>
          <w:color w:val="000000" w:themeColor="text1"/>
        </w:rPr>
        <w:t>,</w:t>
      </w:r>
      <w:r w:rsidR="004F626E" w:rsidRPr="001270F1">
        <w:rPr>
          <w:rFonts w:ascii="Calibri" w:hAnsi="Calibri" w:cs="Calibri"/>
          <w:bCs/>
          <w:color w:val="000000" w:themeColor="text1"/>
        </w:rPr>
        <w:t xml:space="preserve"> and care for humanistic values (Yemini, 2017, p. 61; Dill, 2013)</w:t>
      </w:r>
      <w:r w:rsidRPr="001270F1">
        <w:rPr>
          <w:rFonts w:ascii="Calibri" w:hAnsi="Calibri" w:cs="Calibri"/>
          <w:bCs/>
          <w:color w:val="000000" w:themeColor="text1"/>
        </w:rPr>
        <w:t>.</w:t>
      </w:r>
      <w:r w:rsidR="00505995" w:rsidRPr="001270F1">
        <w:rPr>
          <w:rFonts w:ascii="Calibri" w:hAnsi="Calibri" w:cs="Calibri"/>
          <w:bCs/>
          <w:color w:val="000000" w:themeColor="text1"/>
        </w:rPr>
        <w:t xml:space="preserve"> Hence, </w:t>
      </w:r>
      <w:r w:rsidR="004F626E" w:rsidRPr="001270F1">
        <w:rPr>
          <w:rFonts w:ascii="Calibri" w:hAnsi="Calibri" w:cs="Calibri"/>
          <w:bCs/>
          <w:color w:val="000000" w:themeColor="text1"/>
        </w:rPr>
        <w:t xml:space="preserve">GC and SDGED </w:t>
      </w:r>
      <w:r w:rsidR="00505995" w:rsidRPr="001270F1">
        <w:rPr>
          <w:rFonts w:ascii="Calibri" w:hAnsi="Calibri" w:cs="Calibri"/>
          <w:bCs/>
          <w:color w:val="000000" w:themeColor="text1"/>
        </w:rPr>
        <w:t xml:space="preserve">should </w:t>
      </w:r>
      <w:r w:rsidR="004F626E" w:rsidRPr="001270F1">
        <w:rPr>
          <w:rFonts w:ascii="Calibri" w:hAnsi="Calibri" w:cs="Calibri"/>
          <w:bCs/>
          <w:color w:val="000000" w:themeColor="text1"/>
        </w:rPr>
        <w:t>target several intertwined factors, such as:</w:t>
      </w:r>
    </w:p>
    <w:p w14:paraId="016B58EF" w14:textId="77777777" w:rsidR="004F626E" w:rsidRPr="001270F1" w:rsidRDefault="004F626E" w:rsidP="00665090">
      <w:pPr>
        <w:numPr>
          <w:ilvl w:val="0"/>
          <w:numId w:val="2"/>
        </w:numPr>
        <w:autoSpaceDE w:val="0"/>
        <w:autoSpaceDN w:val="0"/>
        <w:adjustRightInd w:val="0"/>
        <w:snapToGrid w:val="0"/>
        <w:spacing w:before="120" w:after="120"/>
        <w:jc w:val="both"/>
        <w:rPr>
          <w:rFonts w:ascii="Calibri" w:hAnsi="Calibri" w:cs="Calibri"/>
          <w:bCs/>
          <w:color w:val="000000" w:themeColor="text1"/>
        </w:rPr>
      </w:pPr>
      <w:r w:rsidRPr="001270F1">
        <w:rPr>
          <w:rFonts w:ascii="Calibri" w:hAnsi="Calibri" w:cs="Calibri"/>
          <w:bCs/>
          <w:color w:val="000000" w:themeColor="text1"/>
        </w:rPr>
        <w:t xml:space="preserve">Ability to analyze contemporary issues at local levels and detect their connections with the global level with potential solutions (Damiani, 2018). </w:t>
      </w:r>
    </w:p>
    <w:p w14:paraId="0E3F8B4A" w14:textId="77777777" w:rsidR="004F626E" w:rsidRPr="001270F1" w:rsidRDefault="004F626E" w:rsidP="00665090">
      <w:pPr>
        <w:numPr>
          <w:ilvl w:val="0"/>
          <w:numId w:val="2"/>
        </w:numPr>
        <w:autoSpaceDE w:val="0"/>
        <w:autoSpaceDN w:val="0"/>
        <w:adjustRightInd w:val="0"/>
        <w:snapToGrid w:val="0"/>
        <w:spacing w:before="120" w:after="120"/>
        <w:jc w:val="both"/>
        <w:rPr>
          <w:rFonts w:ascii="Calibri" w:hAnsi="Calibri" w:cs="Calibri"/>
          <w:bCs/>
          <w:color w:val="000000" w:themeColor="text1"/>
        </w:rPr>
      </w:pPr>
      <w:r w:rsidRPr="001270F1">
        <w:rPr>
          <w:rFonts w:ascii="Calibri" w:hAnsi="Calibri" w:cs="Calibri"/>
          <w:bCs/>
          <w:color w:val="000000" w:themeColor="text1"/>
        </w:rPr>
        <w:t xml:space="preserve">Promotion of civic awareness worldwide to capture human rights and social justice (Pike, 2008; Wringe, 1999). </w:t>
      </w:r>
    </w:p>
    <w:p w14:paraId="36CF4DC8" w14:textId="77777777" w:rsidR="004F626E" w:rsidRPr="001270F1" w:rsidRDefault="004F626E" w:rsidP="00665090">
      <w:pPr>
        <w:numPr>
          <w:ilvl w:val="0"/>
          <w:numId w:val="2"/>
        </w:numPr>
        <w:autoSpaceDE w:val="0"/>
        <w:autoSpaceDN w:val="0"/>
        <w:adjustRightInd w:val="0"/>
        <w:snapToGrid w:val="0"/>
        <w:spacing w:before="120" w:after="120"/>
        <w:jc w:val="both"/>
        <w:rPr>
          <w:rFonts w:ascii="Calibri" w:hAnsi="Calibri" w:cs="Calibri"/>
          <w:bCs/>
          <w:color w:val="000000" w:themeColor="text1"/>
        </w:rPr>
      </w:pPr>
      <w:r w:rsidRPr="001270F1">
        <w:rPr>
          <w:rFonts w:ascii="Calibri" w:hAnsi="Calibri" w:cs="Calibri"/>
          <w:bCs/>
          <w:color w:val="000000" w:themeColor="text1"/>
        </w:rPr>
        <w:t>Knowledge of international relations and affairs with the ability to analyze global trends and messages (Davies, 2008)</w:t>
      </w:r>
    </w:p>
    <w:p w14:paraId="49E7C3F7" w14:textId="72EA66DA" w:rsidR="004F626E" w:rsidRPr="001270F1" w:rsidRDefault="004F626E" w:rsidP="00665090">
      <w:pPr>
        <w:numPr>
          <w:ilvl w:val="0"/>
          <w:numId w:val="2"/>
        </w:numPr>
        <w:autoSpaceDE w:val="0"/>
        <w:autoSpaceDN w:val="0"/>
        <w:adjustRightInd w:val="0"/>
        <w:snapToGrid w:val="0"/>
        <w:spacing w:before="120" w:after="120"/>
        <w:jc w:val="both"/>
        <w:rPr>
          <w:rFonts w:ascii="Calibri" w:hAnsi="Calibri" w:cs="Calibri"/>
          <w:bCs/>
          <w:color w:val="000000" w:themeColor="text1"/>
        </w:rPr>
      </w:pPr>
      <w:r w:rsidRPr="001270F1">
        <w:rPr>
          <w:rFonts w:ascii="Calibri" w:hAnsi="Calibri" w:cs="Calibri"/>
          <w:bCs/>
          <w:color w:val="000000" w:themeColor="text1"/>
        </w:rPr>
        <w:t>Skills for negotiation</w:t>
      </w:r>
      <w:r w:rsidR="00505995" w:rsidRPr="001270F1">
        <w:rPr>
          <w:rFonts w:ascii="Calibri" w:hAnsi="Calibri" w:cs="Calibri"/>
          <w:bCs/>
          <w:color w:val="000000" w:themeColor="text1"/>
        </w:rPr>
        <w:t xml:space="preserve"> and</w:t>
      </w:r>
      <w:r w:rsidRPr="001270F1">
        <w:rPr>
          <w:rFonts w:ascii="Calibri" w:hAnsi="Calibri" w:cs="Calibri"/>
          <w:bCs/>
          <w:color w:val="000000" w:themeColor="text1"/>
        </w:rPr>
        <w:t xml:space="preserve"> persuasion, formation </w:t>
      </w:r>
      <w:r w:rsidR="00505995" w:rsidRPr="001270F1">
        <w:rPr>
          <w:rFonts w:ascii="Calibri" w:hAnsi="Calibri" w:cs="Calibri"/>
          <w:bCs/>
          <w:color w:val="000000" w:themeColor="text1"/>
        </w:rPr>
        <w:t xml:space="preserve">and </w:t>
      </w:r>
      <w:r w:rsidRPr="001270F1">
        <w:rPr>
          <w:rFonts w:ascii="Calibri" w:hAnsi="Calibri" w:cs="Calibri"/>
          <w:bCs/>
          <w:color w:val="000000" w:themeColor="text1"/>
        </w:rPr>
        <w:t>expression of opinions</w:t>
      </w:r>
      <w:r w:rsidR="00505995" w:rsidRPr="001270F1">
        <w:rPr>
          <w:rFonts w:ascii="Calibri" w:hAnsi="Calibri" w:cs="Calibri"/>
          <w:bCs/>
          <w:color w:val="000000" w:themeColor="text1"/>
        </w:rPr>
        <w:t>,</w:t>
      </w:r>
      <w:r w:rsidRPr="001270F1">
        <w:rPr>
          <w:rFonts w:ascii="Calibri" w:hAnsi="Calibri" w:cs="Calibri"/>
          <w:bCs/>
          <w:color w:val="000000" w:themeColor="text1"/>
        </w:rPr>
        <w:t xml:space="preserve"> and readiness for action (Yemini, 2017, p: 61). </w:t>
      </w:r>
    </w:p>
    <w:p w14:paraId="5B55B5D8" w14:textId="0EB3FFE0" w:rsidR="004F626E" w:rsidRPr="001270F1" w:rsidRDefault="004F626E" w:rsidP="00665090">
      <w:pPr>
        <w:numPr>
          <w:ilvl w:val="0"/>
          <w:numId w:val="2"/>
        </w:numPr>
        <w:autoSpaceDE w:val="0"/>
        <w:autoSpaceDN w:val="0"/>
        <w:adjustRightInd w:val="0"/>
        <w:snapToGrid w:val="0"/>
        <w:spacing w:before="120" w:after="120"/>
        <w:jc w:val="both"/>
        <w:rPr>
          <w:rFonts w:ascii="Calibri" w:hAnsi="Calibri" w:cs="Calibri"/>
          <w:bCs/>
          <w:color w:val="000000" w:themeColor="text1"/>
        </w:rPr>
      </w:pPr>
      <w:r w:rsidRPr="001270F1">
        <w:rPr>
          <w:rFonts w:ascii="Calibri" w:hAnsi="Calibri" w:cs="Calibri"/>
          <w:bCs/>
          <w:color w:val="000000" w:themeColor="text1"/>
        </w:rPr>
        <w:t>Readiness to live and act in a context of global change, interdependence</w:t>
      </w:r>
      <w:r w:rsidR="00505995" w:rsidRPr="001270F1">
        <w:rPr>
          <w:rFonts w:ascii="Calibri" w:hAnsi="Calibri" w:cs="Calibri"/>
          <w:bCs/>
          <w:color w:val="000000" w:themeColor="text1"/>
        </w:rPr>
        <w:t>,</w:t>
      </w:r>
      <w:r w:rsidRPr="001270F1">
        <w:rPr>
          <w:rFonts w:ascii="Calibri" w:hAnsi="Calibri" w:cs="Calibri"/>
          <w:bCs/>
          <w:color w:val="000000" w:themeColor="text1"/>
        </w:rPr>
        <w:t xml:space="preserve"> and diversity (Ibrahim, 2005).</w:t>
      </w:r>
    </w:p>
    <w:p w14:paraId="022DF484" w14:textId="2A6BE1A2" w:rsidR="004F626E" w:rsidRPr="001270F1" w:rsidRDefault="004F626E" w:rsidP="00665090">
      <w:pPr>
        <w:numPr>
          <w:ilvl w:val="0"/>
          <w:numId w:val="2"/>
        </w:numPr>
        <w:autoSpaceDE w:val="0"/>
        <w:autoSpaceDN w:val="0"/>
        <w:adjustRightInd w:val="0"/>
        <w:snapToGrid w:val="0"/>
        <w:spacing w:before="120" w:after="120"/>
        <w:jc w:val="both"/>
        <w:rPr>
          <w:rFonts w:ascii="Calibri" w:hAnsi="Calibri" w:cs="Calibri"/>
          <w:bCs/>
          <w:color w:val="000000" w:themeColor="text1"/>
        </w:rPr>
      </w:pPr>
      <w:r w:rsidRPr="001270F1">
        <w:rPr>
          <w:rFonts w:ascii="Calibri" w:hAnsi="Calibri" w:cs="Calibri"/>
          <w:bCs/>
          <w:color w:val="000000" w:themeColor="text1"/>
        </w:rPr>
        <w:lastRenderedPageBreak/>
        <w:t>A sense of global responsibility to address the inequalities, existing injustices, changing values</w:t>
      </w:r>
      <w:r w:rsidR="00505995" w:rsidRPr="001270F1">
        <w:rPr>
          <w:rFonts w:ascii="Calibri" w:hAnsi="Calibri" w:cs="Calibri"/>
          <w:bCs/>
          <w:color w:val="000000" w:themeColor="text1"/>
        </w:rPr>
        <w:t>,</w:t>
      </w:r>
      <w:r w:rsidRPr="001270F1">
        <w:rPr>
          <w:rFonts w:ascii="Calibri" w:hAnsi="Calibri" w:cs="Calibri"/>
          <w:bCs/>
          <w:color w:val="000000" w:themeColor="text1"/>
        </w:rPr>
        <w:t xml:space="preserve"> and disparities in the world (Bamber, 2020)</w:t>
      </w:r>
    </w:p>
    <w:p w14:paraId="1D041929" w14:textId="08CAC993" w:rsidR="00570259" w:rsidRPr="001270F1" w:rsidRDefault="004F626E" w:rsidP="00665090">
      <w:pPr>
        <w:snapToGrid w:val="0"/>
        <w:spacing w:before="120" w:after="120"/>
        <w:ind w:firstLine="360"/>
        <w:jc w:val="both"/>
        <w:rPr>
          <w:rFonts w:ascii="Calibri" w:hAnsi="Calibri" w:cs="Calibri"/>
          <w:bCs/>
          <w:color w:val="000000" w:themeColor="text1"/>
        </w:rPr>
      </w:pPr>
      <w:r w:rsidRPr="001270F1">
        <w:rPr>
          <w:rFonts w:ascii="Calibri" w:hAnsi="Calibri" w:cs="Calibri"/>
          <w:bCs/>
          <w:color w:val="000000" w:themeColor="text1"/>
        </w:rPr>
        <w:t>All of these factors are very relevant yet incomplete unless they are combined with the necessary measures</w:t>
      </w:r>
      <w:r w:rsidR="0059111C" w:rsidRPr="001270F1">
        <w:rPr>
          <w:rFonts w:ascii="Calibri" w:hAnsi="Calibri" w:cs="Calibri"/>
          <w:bCs/>
          <w:color w:val="000000" w:themeColor="text1"/>
        </w:rPr>
        <w:t>. These measures include</w:t>
      </w:r>
      <w:r w:rsidRPr="001270F1">
        <w:rPr>
          <w:rFonts w:ascii="Calibri" w:hAnsi="Calibri" w:cs="Calibri"/>
          <w:bCs/>
          <w:color w:val="000000" w:themeColor="text1"/>
        </w:rPr>
        <w:t xml:space="preserve"> address</w:t>
      </w:r>
      <w:r w:rsidR="0059111C" w:rsidRPr="001270F1">
        <w:rPr>
          <w:rFonts w:ascii="Calibri" w:hAnsi="Calibri" w:cs="Calibri"/>
          <w:bCs/>
          <w:color w:val="000000" w:themeColor="text1"/>
        </w:rPr>
        <w:t>ing</w:t>
      </w:r>
      <w:r w:rsidRPr="001270F1">
        <w:rPr>
          <w:rFonts w:ascii="Calibri" w:hAnsi="Calibri" w:cs="Calibri"/>
          <w:bCs/>
          <w:color w:val="000000" w:themeColor="text1"/>
        </w:rPr>
        <w:t xml:space="preserve"> the contemporary and modern challenges in various contexts </w:t>
      </w:r>
      <w:r w:rsidR="0059111C" w:rsidRPr="001270F1">
        <w:rPr>
          <w:rFonts w:ascii="Calibri" w:hAnsi="Calibri" w:cs="Calibri"/>
          <w:bCs/>
          <w:color w:val="000000" w:themeColor="text1"/>
        </w:rPr>
        <w:t xml:space="preserve">of </w:t>
      </w:r>
      <w:r w:rsidRPr="001270F1">
        <w:rPr>
          <w:rFonts w:ascii="Calibri" w:hAnsi="Calibri" w:cs="Calibri"/>
          <w:bCs/>
          <w:color w:val="000000" w:themeColor="text1"/>
        </w:rPr>
        <w:t xml:space="preserve">the human development </w:t>
      </w:r>
      <w:r w:rsidR="0059111C" w:rsidRPr="001270F1">
        <w:rPr>
          <w:rFonts w:ascii="Calibri" w:hAnsi="Calibri" w:cs="Calibri"/>
          <w:bCs/>
          <w:color w:val="000000" w:themeColor="text1"/>
        </w:rPr>
        <w:t xml:space="preserve">from the nexus </w:t>
      </w:r>
      <w:r w:rsidRPr="001270F1">
        <w:rPr>
          <w:rFonts w:ascii="Calibri" w:hAnsi="Calibri" w:cs="Calibri"/>
          <w:bCs/>
          <w:color w:val="000000" w:themeColor="text1"/>
        </w:rPr>
        <w:t>of ecology/environment, equity/social development, culture, belief systems, indigenous knowledge, societal forces and finance/economy, i.e.</w:t>
      </w:r>
      <w:r w:rsidR="0059111C" w:rsidRPr="001270F1">
        <w:rPr>
          <w:rFonts w:ascii="Calibri" w:hAnsi="Calibri" w:cs="Calibri"/>
          <w:bCs/>
          <w:color w:val="000000" w:themeColor="text1"/>
        </w:rPr>
        <w:t>,</w:t>
      </w:r>
      <w:r w:rsidRPr="001270F1">
        <w:rPr>
          <w:rFonts w:ascii="Calibri" w:hAnsi="Calibri" w:cs="Calibri"/>
          <w:bCs/>
          <w:color w:val="000000" w:themeColor="text1"/>
        </w:rPr>
        <w:t xml:space="preserve"> the sustainable development.</w:t>
      </w:r>
    </w:p>
    <w:p w14:paraId="151C3620" w14:textId="77777777" w:rsidR="00570259" w:rsidRPr="001270F1" w:rsidRDefault="00570259" w:rsidP="00665090">
      <w:pPr>
        <w:snapToGrid w:val="0"/>
        <w:spacing w:before="120" w:after="120"/>
        <w:jc w:val="center"/>
        <w:rPr>
          <w:rFonts w:ascii="Calibri" w:hAnsi="Calibri" w:cs="Calibri"/>
          <w:b/>
          <w:bCs/>
          <w:color w:val="000000" w:themeColor="text1"/>
          <w:sz w:val="28"/>
          <w:szCs w:val="28"/>
        </w:rPr>
      </w:pPr>
    </w:p>
    <w:p w14:paraId="742C9778" w14:textId="5F2477FE" w:rsidR="00570259" w:rsidRPr="001270F1" w:rsidRDefault="00570259" w:rsidP="00665090">
      <w:pPr>
        <w:snapToGrid w:val="0"/>
        <w:spacing w:before="120" w:after="120"/>
        <w:jc w:val="center"/>
        <w:rPr>
          <w:rFonts w:ascii="Calibri" w:hAnsi="Calibri" w:cs="Calibri"/>
          <w:b/>
          <w:bCs/>
          <w:color w:val="000000" w:themeColor="text1"/>
          <w:sz w:val="28"/>
          <w:szCs w:val="28"/>
        </w:rPr>
      </w:pPr>
      <w:r w:rsidRPr="001270F1">
        <w:rPr>
          <w:rFonts w:ascii="Calibri" w:hAnsi="Calibri" w:cs="Calibri"/>
          <w:b/>
          <w:bCs/>
          <w:color w:val="000000" w:themeColor="text1"/>
          <w:sz w:val="28"/>
          <w:szCs w:val="28"/>
        </w:rPr>
        <w:t>ISLAMIC SOCIAL FINANCE &amp; UN SDG EDUCATION</w:t>
      </w:r>
    </w:p>
    <w:p w14:paraId="6DBBC842" w14:textId="77777777" w:rsidR="00570259" w:rsidRPr="001270F1" w:rsidRDefault="00570259" w:rsidP="00665090">
      <w:pPr>
        <w:snapToGrid w:val="0"/>
        <w:spacing w:before="120" w:after="120"/>
        <w:jc w:val="both"/>
        <w:rPr>
          <w:rFonts w:ascii="Calibri" w:hAnsi="Calibri" w:cs="Calibri"/>
          <w:color w:val="000000" w:themeColor="text1"/>
        </w:rPr>
      </w:pPr>
      <w:r w:rsidRPr="001270F1">
        <w:rPr>
          <w:rFonts w:ascii="Calibri" w:hAnsi="Calibri" w:cs="Calibri"/>
          <w:color w:val="000000" w:themeColor="text1"/>
        </w:rPr>
        <w:t>The ambition of the UN Sustainable Development Goals that require a comprehensive approach calls for financial and technical resources from both the public and private sectors. It is estimated by UNCTAD (2014) that between USD 5 trillion and USD 7 trillion is required annually for the next 15 years to realize the agenda by 2030.  With an estimated market of USD 3.8 trillion by 2022 (Thomson Reuters, 2018), Islamic Finance has answered the UN 2030 agenda and is continuously playing a massive role in mobilizing the substantial resources demand challenge for many countries the less developed ones.</w:t>
      </w:r>
    </w:p>
    <w:p w14:paraId="57FE7AF2" w14:textId="32A330CF" w:rsidR="00570259" w:rsidRPr="001270F1" w:rsidRDefault="00570259" w:rsidP="00665090">
      <w:pPr>
        <w:snapToGrid w:val="0"/>
        <w:spacing w:before="120" w:after="120"/>
        <w:ind w:firstLine="720"/>
        <w:jc w:val="both"/>
        <w:rPr>
          <w:rFonts w:ascii="Calibri" w:hAnsi="Calibri" w:cs="Calibri"/>
          <w:color w:val="000000" w:themeColor="text1"/>
        </w:rPr>
      </w:pPr>
      <w:r w:rsidRPr="001270F1">
        <w:rPr>
          <w:rFonts w:ascii="Calibri" w:hAnsi="Calibri" w:cs="Calibri"/>
          <w:color w:val="000000" w:themeColor="text1"/>
        </w:rPr>
        <w:t>Moreover, the potential size of the Zakat fund, which is one of</w:t>
      </w:r>
      <w:r w:rsidR="00EC7F93" w:rsidRPr="001270F1">
        <w:rPr>
          <w:rFonts w:ascii="Calibri" w:hAnsi="Calibri" w:cs="Calibri"/>
          <w:color w:val="000000" w:themeColor="text1"/>
        </w:rPr>
        <w:t xml:space="preserve"> the</w:t>
      </w:r>
      <w:r w:rsidRPr="001270F1">
        <w:rPr>
          <w:rFonts w:ascii="Calibri" w:hAnsi="Calibri" w:cs="Calibri"/>
          <w:color w:val="000000" w:themeColor="text1"/>
        </w:rPr>
        <w:t xml:space="preserve"> Islamic Social Finance (ISF) instruments, is estimated to be USD 1 trillion annually (Obaidullah and Shirazi, 2015). This value does not include other instruments (i.e., waqf etc.), which will most probably exceed the USD 2.7 trillion market value of commercial Islamic Finance. However, Islamic Finance, or especially Islamic Social Finance, does not just provide the avenue for mobiliz</w:t>
      </w:r>
      <w:r w:rsidR="00EC7F93" w:rsidRPr="001270F1">
        <w:rPr>
          <w:rFonts w:ascii="Calibri" w:hAnsi="Calibri" w:cs="Calibri"/>
          <w:color w:val="000000" w:themeColor="text1"/>
        </w:rPr>
        <w:t>ing</w:t>
      </w:r>
      <w:r w:rsidRPr="001270F1">
        <w:rPr>
          <w:rFonts w:ascii="Calibri" w:hAnsi="Calibri" w:cs="Calibri"/>
          <w:color w:val="000000" w:themeColor="text1"/>
        </w:rPr>
        <w:t xml:space="preserve"> funds. It also subconsciously instills global consciousness and civic education, which the paper will henceforth highlight.</w:t>
      </w:r>
    </w:p>
    <w:p w14:paraId="58BF7034" w14:textId="77777777" w:rsidR="00570259" w:rsidRPr="001270F1" w:rsidRDefault="00570259" w:rsidP="00665090">
      <w:pPr>
        <w:bidi/>
        <w:snapToGrid w:val="0"/>
        <w:spacing w:before="120" w:after="120"/>
        <w:ind w:firstLine="720"/>
        <w:jc w:val="both"/>
        <w:rPr>
          <w:rFonts w:ascii="Calibri" w:hAnsi="Calibri" w:cs="Calibri"/>
          <w:color w:val="000000" w:themeColor="text1"/>
          <w:rtl/>
        </w:rPr>
      </w:pPr>
    </w:p>
    <w:p w14:paraId="43405002" w14:textId="77777777" w:rsidR="00570259" w:rsidRPr="001270F1" w:rsidRDefault="00570259" w:rsidP="00665090">
      <w:pPr>
        <w:snapToGrid w:val="0"/>
        <w:spacing w:before="120" w:after="120"/>
        <w:jc w:val="both"/>
        <w:rPr>
          <w:rFonts w:ascii="Calibri" w:hAnsi="Calibri" w:cs="Calibri"/>
          <w:b/>
          <w:bCs/>
          <w:color w:val="000000" w:themeColor="text1"/>
          <w:sz w:val="26"/>
          <w:szCs w:val="26"/>
        </w:rPr>
      </w:pPr>
      <w:r w:rsidRPr="001270F1">
        <w:rPr>
          <w:rFonts w:ascii="Calibri" w:hAnsi="Calibri" w:cs="Calibri"/>
          <w:b/>
          <w:bCs/>
          <w:color w:val="000000" w:themeColor="text1"/>
          <w:sz w:val="26"/>
          <w:szCs w:val="26"/>
        </w:rPr>
        <w:t>Beyond Socio-Economic Impact – Islamic Social Finance Drivers</w:t>
      </w:r>
    </w:p>
    <w:p w14:paraId="154A43C2" w14:textId="77777777" w:rsidR="00570259" w:rsidRPr="001270F1" w:rsidRDefault="00570259" w:rsidP="00665090">
      <w:pPr>
        <w:snapToGrid w:val="0"/>
        <w:spacing w:before="120" w:after="120"/>
        <w:jc w:val="both"/>
        <w:rPr>
          <w:rFonts w:ascii="Calibri" w:hAnsi="Calibri" w:cs="Calibri"/>
          <w:color w:val="000000" w:themeColor="text1"/>
        </w:rPr>
      </w:pPr>
      <w:r w:rsidRPr="001270F1">
        <w:rPr>
          <w:rFonts w:ascii="Calibri" w:hAnsi="Calibri" w:cs="Calibri"/>
          <w:color w:val="000000" w:themeColor="text1"/>
        </w:rPr>
        <w:t xml:space="preserve">Philanthropist activities that were known since early history were mostly spontaneous in nature. However, this changed when the Islamic mission started along with the establishment of ISF instruments in the first Hijri century (7th-8th AD) in the Muslim state (Abdelrahman </w:t>
      </w:r>
      <w:proofErr w:type="spellStart"/>
      <w:r w:rsidRPr="001270F1">
        <w:rPr>
          <w:rFonts w:ascii="Calibri" w:hAnsi="Calibri" w:cs="Calibri"/>
          <w:color w:val="000000" w:themeColor="text1"/>
        </w:rPr>
        <w:t>Yosri</w:t>
      </w:r>
      <w:proofErr w:type="spellEnd"/>
      <w:r w:rsidRPr="001270F1">
        <w:rPr>
          <w:rFonts w:ascii="Calibri" w:hAnsi="Calibri" w:cs="Calibri"/>
          <w:color w:val="000000" w:themeColor="text1"/>
        </w:rPr>
        <w:t>, 2013). Since then, it has become well organized as a recognized institution and ingrained in every Muslim society's social fabric.</w:t>
      </w:r>
    </w:p>
    <w:p w14:paraId="5D161396" w14:textId="288651E3" w:rsidR="00570259" w:rsidRPr="001270F1" w:rsidRDefault="00570259" w:rsidP="00665090">
      <w:pPr>
        <w:snapToGrid w:val="0"/>
        <w:spacing w:before="120" w:after="120"/>
        <w:ind w:firstLine="360"/>
        <w:jc w:val="both"/>
        <w:rPr>
          <w:rFonts w:ascii="Calibri" w:hAnsi="Calibri" w:cs="Calibri"/>
          <w:color w:val="000000" w:themeColor="text1"/>
        </w:rPr>
      </w:pPr>
      <w:r w:rsidRPr="001270F1">
        <w:rPr>
          <w:rFonts w:ascii="Calibri" w:hAnsi="Calibri" w:cs="Calibri"/>
          <w:color w:val="000000" w:themeColor="text1"/>
        </w:rPr>
        <w:t xml:space="preserve">The socio-economic impact of ISF instruments is well documented and recognized (IDB, 2020). </w:t>
      </w:r>
      <w:r w:rsidR="00EC7F93" w:rsidRPr="001270F1">
        <w:rPr>
          <w:rFonts w:ascii="Calibri" w:hAnsi="Calibri" w:cs="Calibri"/>
          <w:color w:val="000000" w:themeColor="text1"/>
        </w:rPr>
        <w:t>The Islamic Social Finance report (2015) indicates that waqf's value is approximately USD 100 billion to USD 1 trillion.</w:t>
      </w:r>
      <w:r w:rsidRPr="001270F1">
        <w:rPr>
          <w:rFonts w:ascii="Calibri" w:hAnsi="Calibri" w:cs="Calibri"/>
          <w:color w:val="000000" w:themeColor="text1"/>
        </w:rPr>
        <w:t xml:space="preserve"> The Islamic Development Bank (2019) estimates the global zakat fund to be valued at USD 600 billion annually, which is equivalent to Sweden's GDP. Furthermore, according to BAZNAS report in 2019, approximately USD 143 million worth of </w:t>
      </w:r>
      <w:proofErr w:type="spellStart"/>
      <w:r w:rsidRPr="001270F1">
        <w:rPr>
          <w:rFonts w:ascii="Calibri" w:hAnsi="Calibri" w:cs="Calibri"/>
          <w:color w:val="000000" w:themeColor="text1"/>
        </w:rPr>
        <w:t>sadaqah</w:t>
      </w:r>
      <w:proofErr w:type="spellEnd"/>
      <w:r w:rsidRPr="001270F1">
        <w:rPr>
          <w:rFonts w:ascii="Calibri" w:hAnsi="Calibri" w:cs="Calibri"/>
          <w:color w:val="000000" w:themeColor="text1"/>
        </w:rPr>
        <w:t xml:space="preserve"> is collected in Indonesia by BAZNAS in 2017, compared to USD 296 millions worth of zakat, and it is safe to believe that the total </w:t>
      </w:r>
      <w:proofErr w:type="spellStart"/>
      <w:r w:rsidRPr="001270F1">
        <w:rPr>
          <w:rFonts w:ascii="Calibri" w:hAnsi="Calibri" w:cs="Calibri"/>
          <w:color w:val="000000" w:themeColor="text1"/>
        </w:rPr>
        <w:t>sadaqah</w:t>
      </w:r>
      <w:proofErr w:type="spellEnd"/>
      <w:r w:rsidRPr="001270F1">
        <w:rPr>
          <w:rFonts w:ascii="Calibri" w:hAnsi="Calibri" w:cs="Calibri"/>
          <w:color w:val="000000" w:themeColor="text1"/>
        </w:rPr>
        <w:t xml:space="preserve"> amount collected would be higher in comparison to zakat; as </w:t>
      </w:r>
      <w:proofErr w:type="spellStart"/>
      <w:r w:rsidRPr="001270F1">
        <w:rPr>
          <w:rFonts w:ascii="Calibri" w:hAnsi="Calibri" w:cs="Calibri"/>
          <w:color w:val="000000" w:themeColor="text1"/>
        </w:rPr>
        <w:t>sadaqah</w:t>
      </w:r>
      <w:proofErr w:type="spellEnd"/>
      <w:r w:rsidRPr="001270F1">
        <w:rPr>
          <w:rFonts w:ascii="Calibri" w:hAnsi="Calibri" w:cs="Calibri"/>
          <w:color w:val="000000" w:themeColor="text1"/>
        </w:rPr>
        <w:t xml:space="preserve"> donors are not limited to specific beneficiaries, eligibility, and time period.</w:t>
      </w:r>
    </w:p>
    <w:p w14:paraId="32FA3E7B" w14:textId="55FDB52C" w:rsidR="00570259" w:rsidRPr="001270F1" w:rsidRDefault="00570259" w:rsidP="00665090">
      <w:pPr>
        <w:snapToGrid w:val="0"/>
        <w:spacing w:before="120" w:after="120"/>
        <w:ind w:firstLine="360"/>
        <w:jc w:val="both"/>
        <w:rPr>
          <w:rFonts w:ascii="Calibri" w:hAnsi="Calibri" w:cs="Calibri"/>
          <w:color w:val="000000" w:themeColor="text1"/>
        </w:rPr>
      </w:pPr>
      <w:r w:rsidRPr="001270F1">
        <w:rPr>
          <w:rFonts w:ascii="Calibri" w:hAnsi="Calibri" w:cs="Calibri"/>
          <w:color w:val="000000" w:themeColor="text1"/>
        </w:rPr>
        <w:t xml:space="preserve">Beyond the socio-economic impact, there is </w:t>
      </w:r>
      <w:r w:rsidR="00EC7F93" w:rsidRPr="001270F1">
        <w:rPr>
          <w:rFonts w:ascii="Calibri" w:hAnsi="Calibri" w:cs="Calibri"/>
          <w:color w:val="000000" w:themeColor="text1"/>
        </w:rPr>
        <w:t xml:space="preserve">a </w:t>
      </w:r>
      <w:r w:rsidRPr="001270F1">
        <w:rPr>
          <w:rFonts w:ascii="Calibri" w:hAnsi="Calibri" w:cs="Calibri"/>
          <w:color w:val="000000" w:themeColor="text1"/>
        </w:rPr>
        <w:t>theological and ontological framework embedded in the ISF instruments. The theological and ontological elements of ISF provides the drive to charitable giving, which then translate</w:t>
      </w:r>
      <w:r w:rsidR="003455F1" w:rsidRPr="001270F1">
        <w:rPr>
          <w:rFonts w:ascii="Calibri" w:hAnsi="Calibri" w:cs="Calibri"/>
          <w:color w:val="000000" w:themeColor="text1"/>
        </w:rPr>
        <w:t>s</w:t>
      </w:r>
      <w:r w:rsidRPr="001270F1">
        <w:rPr>
          <w:rFonts w:ascii="Calibri" w:hAnsi="Calibri" w:cs="Calibri"/>
          <w:color w:val="000000" w:themeColor="text1"/>
        </w:rPr>
        <w:t xml:space="preserve"> to global consciousness and civic education. </w:t>
      </w:r>
    </w:p>
    <w:p w14:paraId="40FEF4C7" w14:textId="77777777" w:rsidR="00570259" w:rsidRPr="001270F1" w:rsidRDefault="00570259" w:rsidP="00665090">
      <w:pPr>
        <w:snapToGrid w:val="0"/>
        <w:spacing w:before="120" w:after="120"/>
        <w:jc w:val="both"/>
        <w:rPr>
          <w:rFonts w:ascii="Calibri" w:hAnsi="Calibri" w:cs="Calibri"/>
          <w:i/>
          <w:iCs/>
          <w:color w:val="000000" w:themeColor="text1"/>
          <w:sz w:val="22"/>
          <w:szCs w:val="22"/>
        </w:rPr>
      </w:pPr>
      <w:r w:rsidRPr="001270F1">
        <w:rPr>
          <w:rFonts w:ascii="Calibri" w:hAnsi="Calibri" w:cs="Calibri"/>
          <w:i/>
          <w:iCs/>
          <w:color w:val="000000" w:themeColor="text1"/>
          <w:sz w:val="22"/>
          <w:szCs w:val="22"/>
        </w:rPr>
        <w:lastRenderedPageBreak/>
        <w:t xml:space="preserve">Table 1: ISF Instruments Drivers </w:t>
      </w:r>
    </w:p>
    <w:tbl>
      <w:tblPr>
        <w:tblStyle w:val="PlainTable3"/>
        <w:tblW w:w="9010" w:type="dxa"/>
        <w:tblLook w:val="04A0" w:firstRow="1" w:lastRow="0" w:firstColumn="1" w:lastColumn="0" w:noHBand="0" w:noVBand="1"/>
      </w:tblPr>
      <w:tblGrid>
        <w:gridCol w:w="1759"/>
        <w:gridCol w:w="4048"/>
        <w:gridCol w:w="3203"/>
      </w:tblGrid>
      <w:tr w:rsidR="001270F1" w:rsidRPr="001270F1" w14:paraId="58D8A526" w14:textId="77777777" w:rsidTr="003423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9" w:type="dxa"/>
            <w:tcBorders>
              <w:top w:val="single" w:sz="4" w:space="0" w:color="auto"/>
              <w:left w:val="single" w:sz="4" w:space="0" w:color="auto"/>
              <w:bottom w:val="single" w:sz="4" w:space="0" w:color="auto"/>
              <w:right w:val="single" w:sz="4" w:space="0" w:color="auto"/>
            </w:tcBorders>
            <w:vAlign w:val="center"/>
          </w:tcPr>
          <w:p w14:paraId="10014798" w14:textId="77777777" w:rsidR="00570259" w:rsidRPr="001270F1" w:rsidRDefault="00570259" w:rsidP="00665090">
            <w:pPr>
              <w:snapToGrid w:val="0"/>
              <w:spacing w:before="120" w:after="120"/>
              <w:jc w:val="center"/>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Instruments</w:t>
            </w:r>
          </w:p>
        </w:tc>
        <w:tc>
          <w:tcPr>
            <w:tcW w:w="4048" w:type="dxa"/>
            <w:tcBorders>
              <w:top w:val="single" w:sz="4" w:space="0" w:color="auto"/>
              <w:left w:val="single" w:sz="4" w:space="0" w:color="auto"/>
              <w:bottom w:val="single" w:sz="4" w:space="0" w:color="auto"/>
              <w:right w:val="single" w:sz="4" w:space="0" w:color="auto"/>
            </w:tcBorders>
          </w:tcPr>
          <w:p w14:paraId="1C2448C5" w14:textId="77777777" w:rsidR="00570259" w:rsidRPr="001270F1" w:rsidRDefault="00570259" w:rsidP="00665090">
            <w:pPr>
              <w:snapToGrid w:val="0"/>
              <w:spacing w:before="120" w:after="12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Theological &amp; ontological drive</w:t>
            </w:r>
          </w:p>
        </w:tc>
        <w:tc>
          <w:tcPr>
            <w:tcW w:w="3203" w:type="dxa"/>
            <w:tcBorders>
              <w:top w:val="single" w:sz="4" w:space="0" w:color="auto"/>
              <w:left w:val="single" w:sz="4" w:space="0" w:color="auto"/>
              <w:bottom w:val="single" w:sz="4" w:space="0" w:color="auto"/>
              <w:right w:val="single" w:sz="4" w:space="0" w:color="auto"/>
            </w:tcBorders>
          </w:tcPr>
          <w:p w14:paraId="37086A09" w14:textId="77777777" w:rsidR="00570259" w:rsidRPr="001270F1" w:rsidRDefault="00570259" w:rsidP="00665090">
            <w:pPr>
              <w:snapToGrid w:val="0"/>
              <w:spacing w:before="120" w:after="12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Features and Usage</w:t>
            </w:r>
          </w:p>
        </w:tc>
      </w:tr>
      <w:tr w:rsidR="001270F1" w:rsidRPr="001270F1" w14:paraId="27CB3CF7" w14:textId="77777777" w:rsidTr="00342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Borders>
              <w:top w:val="single" w:sz="4" w:space="0" w:color="auto"/>
              <w:left w:val="single" w:sz="4" w:space="0" w:color="auto"/>
              <w:right w:val="single" w:sz="4" w:space="0" w:color="auto"/>
            </w:tcBorders>
            <w:vAlign w:val="center"/>
          </w:tcPr>
          <w:p w14:paraId="0A448065" w14:textId="77777777" w:rsidR="00570259" w:rsidRPr="001270F1" w:rsidRDefault="00570259" w:rsidP="00665090">
            <w:pPr>
              <w:snapToGrid w:val="0"/>
              <w:spacing w:before="120" w:after="120"/>
              <w:jc w:val="center"/>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Fidyah</w:t>
            </w:r>
          </w:p>
        </w:tc>
        <w:tc>
          <w:tcPr>
            <w:tcW w:w="4048" w:type="dxa"/>
            <w:tcBorders>
              <w:top w:val="single" w:sz="4" w:space="0" w:color="auto"/>
              <w:left w:val="single" w:sz="4" w:space="0" w:color="auto"/>
              <w:right w:val="single" w:sz="4" w:space="0" w:color="auto"/>
            </w:tcBorders>
            <w:vAlign w:val="center"/>
          </w:tcPr>
          <w:p w14:paraId="00FE5127" w14:textId="77777777" w:rsidR="00570259" w:rsidRPr="001270F1" w:rsidRDefault="00570259" w:rsidP="00665090">
            <w:pPr>
              <w:snapToGrid w:val="0"/>
              <w:spacing w:before="120" w:after="12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rtl/>
                <w:lang w:val="en-US"/>
              </w:rPr>
            </w:pPr>
            <w:r w:rsidRPr="001270F1">
              <w:rPr>
                <w:rFonts w:ascii="Calibri" w:hAnsi="Calibri" w:cs="Calibri"/>
                <w:color w:val="000000" w:themeColor="text1"/>
                <w:sz w:val="20"/>
                <w:szCs w:val="20"/>
                <w:lang w:val="en-US"/>
              </w:rPr>
              <w:t>“… for those who can only fast with extreme difficulty, compensation can be made by feeding a needy person for every day not fasted…” (2:184)</w:t>
            </w:r>
          </w:p>
        </w:tc>
        <w:tc>
          <w:tcPr>
            <w:tcW w:w="3203" w:type="dxa"/>
            <w:tcBorders>
              <w:top w:val="single" w:sz="4" w:space="0" w:color="auto"/>
              <w:left w:val="single" w:sz="4" w:space="0" w:color="auto"/>
              <w:right w:val="single" w:sz="4" w:space="0" w:color="auto"/>
            </w:tcBorders>
          </w:tcPr>
          <w:p w14:paraId="377BE9F5" w14:textId="77777777" w:rsidR="00570259" w:rsidRPr="001270F1" w:rsidRDefault="00570259" w:rsidP="00665090">
            <w:pPr>
              <w:pStyle w:val="ListParagraph"/>
              <w:numPr>
                <w:ilvl w:val="0"/>
                <w:numId w:val="7"/>
              </w:numPr>
              <w:snapToGrid w:val="0"/>
              <w:spacing w:before="120" w:after="120"/>
              <w:ind w:left="355"/>
              <w:contextualSpacing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Food and meal provision</w:t>
            </w:r>
          </w:p>
        </w:tc>
      </w:tr>
      <w:tr w:rsidR="001270F1" w:rsidRPr="001270F1" w14:paraId="432A7F9A" w14:textId="77777777" w:rsidTr="00342376">
        <w:tc>
          <w:tcPr>
            <w:cnfStyle w:val="001000000000" w:firstRow="0" w:lastRow="0" w:firstColumn="1" w:lastColumn="0" w:oddVBand="0" w:evenVBand="0" w:oddHBand="0" w:evenHBand="0" w:firstRowFirstColumn="0" w:firstRowLastColumn="0" w:lastRowFirstColumn="0" w:lastRowLastColumn="0"/>
            <w:tcW w:w="1759" w:type="dxa"/>
            <w:tcBorders>
              <w:left w:val="single" w:sz="4" w:space="0" w:color="auto"/>
              <w:right w:val="single" w:sz="4" w:space="0" w:color="auto"/>
            </w:tcBorders>
            <w:vAlign w:val="center"/>
          </w:tcPr>
          <w:p w14:paraId="3AEE9052" w14:textId="77777777" w:rsidR="00570259" w:rsidRPr="001270F1" w:rsidRDefault="00570259" w:rsidP="00665090">
            <w:pPr>
              <w:snapToGrid w:val="0"/>
              <w:spacing w:before="120" w:after="120"/>
              <w:jc w:val="center"/>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 xml:space="preserve">Qard Hasan </w:t>
            </w:r>
          </w:p>
        </w:tc>
        <w:tc>
          <w:tcPr>
            <w:tcW w:w="4048" w:type="dxa"/>
            <w:tcBorders>
              <w:left w:val="single" w:sz="4" w:space="0" w:color="auto"/>
              <w:right w:val="single" w:sz="4" w:space="0" w:color="auto"/>
            </w:tcBorders>
            <w:vAlign w:val="center"/>
          </w:tcPr>
          <w:p w14:paraId="6D23634B" w14:textId="77777777" w:rsidR="00570259" w:rsidRPr="001270F1" w:rsidRDefault="00570259" w:rsidP="00665090">
            <w:pPr>
              <w:snapToGrid w:val="0"/>
              <w:spacing w:before="120"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“Who is there to advance a loan, a good loan, to Allah so that He multiplies it for him, and he may have a noble reward?” (57:11)</w:t>
            </w:r>
          </w:p>
        </w:tc>
        <w:tc>
          <w:tcPr>
            <w:tcW w:w="3203" w:type="dxa"/>
            <w:tcBorders>
              <w:left w:val="single" w:sz="4" w:space="0" w:color="auto"/>
              <w:right w:val="single" w:sz="4" w:space="0" w:color="auto"/>
            </w:tcBorders>
          </w:tcPr>
          <w:p w14:paraId="01A5155B" w14:textId="77777777" w:rsidR="00570259" w:rsidRPr="001270F1" w:rsidRDefault="00570259" w:rsidP="00665090">
            <w:pPr>
              <w:pStyle w:val="ListParagraph"/>
              <w:numPr>
                <w:ilvl w:val="0"/>
                <w:numId w:val="6"/>
              </w:numPr>
              <w:snapToGrid w:val="0"/>
              <w:spacing w:before="120" w:after="120"/>
              <w:ind w:left="355"/>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Financial relief</w:t>
            </w:r>
          </w:p>
          <w:p w14:paraId="3531071F" w14:textId="77777777" w:rsidR="00570259" w:rsidRPr="001270F1" w:rsidRDefault="00570259" w:rsidP="00665090">
            <w:pPr>
              <w:pStyle w:val="ListParagraph"/>
              <w:numPr>
                <w:ilvl w:val="0"/>
                <w:numId w:val="6"/>
              </w:numPr>
              <w:snapToGrid w:val="0"/>
              <w:spacing w:before="120" w:after="120"/>
              <w:ind w:left="355"/>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Cash payments</w:t>
            </w:r>
          </w:p>
          <w:p w14:paraId="34EAF98B" w14:textId="77777777" w:rsidR="00570259" w:rsidRPr="001270F1" w:rsidRDefault="00570259" w:rsidP="00665090">
            <w:pPr>
              <w:pStyle w:val="ListParagraph"/>
              <w:numPr>
                <w:ilvl w:val="0"/>
                <w:numId w:val="6"/>
              </w:numPr>
              <w:snapToGrid w:val="0"/>
              <w:spacing w:before="120" w:after="120"/>
              <w:ind w:left="355"/>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Immediate disbursement</w:t>
            </w:r>
          </w:p>
          <w:p w14:paraId="35742133" w14:textId="77777777" w:rsidR="00570259" w:rsidRPr="001270F1" w:rsidRDefault="00570259" w:rsidP="00665090">
            <w:pPr>
              <w:pStyle w:val="ListParagraph"/>
              <w:numPr>
                <w:ilvl w:val="0"/>
                <w:numId w:val="6"/>
              </w:numPr>
              <w:snapToGrid w:val="0"/>
              <w:spacing w:before="120" w:after="120"/>
              <w:ind w:left="355"/>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Unrestricted beneficiaries Unrestricted impact</w:t>
            </w:r>
          </w:p>
        </w:tc>
      </w:tr>
      <w:tr w:rsidR="001270F1" w:rsidRPr="001270F1" w14:paraId="6D6E8B8E" w14:textId="77777777" w:rsidTr="00342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Borders>
              <w:left w:val="single" w:sz="4" w:space="0" w:color="auto"/>
              <w:right w:val="single" w:sz="4" w:space="0" w:color="auto"/>
            </w:tcBorders>
            <w:vAlign w:val="center"/>
          </w:tcPr>
          <w:p w14:paraId="506DFF7A" w14:textId="77777777" w:rsidR="00570259" w:rsidRPr="001270F1" w:rsidRDefault="00570259" w:rsidP="00665090">
            <w:pPr>
              <w:snapToGrid w:val="0"/>
              <w:spacing w:before="120" w:after="120"/>
              <w:jc w:val="center"/>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Sadaqah</w:t>
            </w:r>
          </w:p>
        </w:tc>
        <w:tc>
          <w:tcPr>
            <w:tcW w:w="4048" w:type="dxa"/>
            <w:tcBorders>
              <w:left w:val="single" w:sz="4" w:space="0" w:color="auto"/>
              <w:right w:val="single" w:sz="4" w:space="0" w:color="auto"/>
            </w:tcBorders>
            <w:vAlign w:val="center"/>
          </w:tcPr>
          <w:p w14:paraId="26EEBE91" w14:textId="77777777" w:rsidR="00570259" w:rsidRPr="001270F1" w:rsidRDefault="00570259" w:rsidP="00665090">
            <w:pPr>
              <w:snapToGrid w:val="0"/>
              <w:spacing w:before="120" w:after="12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“You will never achieve righteousness until you donate some of what you cherish. And whatever you give is certainly well known to Allah” (3:92)</w:t>
            </w:r>
          </w:p>
        </w:tc>
        <w:tc>
          <w:tcPr>
            <w:tcW w:w="3203" w:type="dxa"/>
            <w:tcBorders>
              <w:left w:val="single" w:sz="4" w:space="0" w:color="auto"/>
              <w:right w:val="single" w:sz="4" w:space="0" w:color="auto"/>
            </w:tcBorders>
          </w:tcPr>
          <w:p w14:paraId="301192F3" w14:textId="77777777" w:rsidR="00570259" w:rsidRPr="001270F1" w:rsidRDefault="00570259" w:rsidP="00665090">
            <w:pPr>
              <w:pStyle w:val="ListParagraph"/>
              <w:numPr>
                <w:ilvl w:val="0"/>
                <w:numId w:val="7"/>
              </w:numPr>
              <w:snapToGrid w:val="0"/>
              <w:spacing w:before="120" w:after="120"/>
              <w:ind w:left="355"/>
              <w:contextualSpacing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 xml:space="preserve">Unrestricted beneficiaries </w:t>
            </w:r>
          </w:p>
          <w:p w14:paraId="2D3F38B0" w14:textId="77777777" w:rsidR="00570259" w:rsidRPr="001270F1" w:rsidRDefault="00570259" w:rsidP="00665090">
            <w:pPr>
              <w:pStyle w:val="ListParagraph"/>
              <w:numPr>
                <w:ilvl w:val="0"/>
                <w:numId w:val="7"/>
              </w:numPr>
              <w:snapToGrid w:val="0"/>
              <w:spacing w:before="120" w:after="120"/>
              <w:ind w:left="355"/>
              <w:contextualSpacing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Unrestricted impact</w:t>
            </w:r>
          </w:p>
        </w:tc>
      </w:tr>
      <w:tr w:rsidR="001270F1" w:rsidRPr="001270F1" w14:paraId="215A7F3B" w14:textId="77777777" w:rsidTr="00342376">
        <w:tc>
          <w:tcPr>
            <w:cnfStyle w:val="001000000000" w:firstRow="0" w:lastRow="0" w:firstColumn="1" w:lastColumn="0" w:oddVBand="0" w:evenVBand="0" w:oddHBand="0" w:evenHBand="0" w:firstRowFirstColumn="0" w:firstRowLastColumn="0" w:lastRowFirstColumn="0" w:lastRowLastColumn="0"/>
            <w:tcW w:w="1759" w:type="dxa"/>
            <w:tcBorders>
              <w:left w:val="single" w:sz="4" w:space="0" w:color="auto"/>
              <w:right w:val="single" w:sz="4" w:space="0" w:color="auto"/>
            </w:tcBorders>
            <w:vAlign w:val="center"/>
          </w:tcPr>
          <w:p w14:paraId="44ECBBB3" w14:textId="77777777" w:rsidR="00570259" w:rsidRPr="001270F1" w:rsidRDefault="00570259" w:rsidP="00665090">
            <w:pPr>
              <w:snapToGrid w:val="0"/>
              <w:spacing w:before="120" w:after="120"/>
              <w:jc w:val="center"/>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Waqf</w:t>
            </w:r>
          </w:p>
        </w:tc>
        <w:tc>
          <w:tcPr>
            <w:tcW w:w="4048" w:type="dxa"/>
            <w:tcBorders>
              <w:left w:val="single" w:sz="4" w:space="0" w:color="auto"/>
              <w:right w:val="single" w:sz="4" w:space="0" w:color="auto"/>
            </w:tcBorders>
            <w:vAlign w:val="center"/>
          </w:tcPr>
          <w:p w14:paraId="48E99845" w14:textId="77777777" w:rsidR="00570259" w:rsidRPr="001270F1" w:rsidRDefault="00570259" w:rsidP="00665090">
            <w:pPr>
              <w:snapToGrid w:val="0"/>
              <w:spacing w:before="120"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“When a man dies, his acts come to an end, but three, recurring charity [i.e. waqf that is still benefitted by beneficiaries], or knowledge (by which people) benefit, or a pious son, who prays for him (for the deceased)”.</w:t>
            </w:r>
            <w:r w:rsidRPr="001270F1">
              <w:rPr>
                <w:rFonts w:ascii="Calibri" w:hAnsi="Calibri" w:cs="Calibri"/>
                <w:color w:val="000000" w:themeColor="text1"/>
                <w:sz w:val="20"/>
                <w:szCs w:val="20"/>
                <w:lang w:val="en-US"/>
              </w:rPr>
              <w:br/>
              <w:t>(Sahih Muslim, hadith no. 1631)</w:t>
            </w:r>
          </w:p>
        </w:tc>
        <w:tc>
          <w:tcPr>
            <w:tcW w:w="3203" w:type="dxa"/>
            <w:tcBorders>
              <w:left w:val="single" w:sz="4" w:space="0" w:color="auto"/>
              <w:right w:val="single" w:sz="4" w:space="0" w:color="auto"/>
            </w:tcBorders>
          </w:tcPr>
          <w:p w14:paraId="44836B87" w14:textId="77777777" w:rsidR="00570259" w:rsidRPr="001270F1" w:rsidRDefault="00570259" w:rsidP="00665090">
            <w:pPr>
              <w:pStyle w:val="ListParagraph"/>
              <w:numPr>
                <w:ilvl w:val="0"/>
                <w:numId w:val="7"/>
              </w:numPr>
              <w:snapToGrid w:val="0"/>
              <w:spacing w:before="120" w:after="120"/>
              <w:ind w:left="355"/>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Perpetual funds for social-economic battement and development</w:t>
            </w:r>
          </w:p>
          <w:p w14:paraId="00C0F96E" w14:textId="77777777" w:rsidR="00570259" w:rsidRPr="001270F1" w:rsidRDefault="00570259" w:rsidP="00665090">
            <w:pPr>
              <w:pStyle w:val="ListParagraph"/>
              <w:numPr>
                <w:ilvl w:val="0"/>
                <w:numId w:val="7"/>
              </w:numPr>
              <w:snapToGrid w:val="0"/>
              <w:spacing w:before="120" w:after="120"/>
              <w:ind w:left="355"/>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 xml:space="preserve">Unrestricted beneficiaries </w:t>
            </w:r>
          </w:p>
          <w:p w14:paraId="062DAD35" w14:textId="77777777" w:rsidR="00570259" w:rsidRPr="001270F1" w:rsidRDefault="00570259" w:rsidP="00665090">
            <w:pPr>
              <w:pStyle w:val="ListParagraph"/>
              <w:numPr>
                <w:ilvl w:val="0"/>
                <w:numId w:val="7"/>
              </w:numPr>
              <w:snapToGrid w:val="0"/>
              <w:spacing w:before="120" w:after="120"/>
              <w:ind w:left="355"/>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Unrestricted impact</w:t>
            </w:r>
          </w:p>
        </w:tc>
      </w:tr>
      <w:tr w:rsidR="001270F1" w:rsidRPr="001270F1" w14:paraId="0F1F782A" w14:textId="77777777" w:rsidTr="003423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9" w:type="dxa"/>
            <w:tcBorders>
              <w:left w:val="single" w:sz="4" w:space="0" w:color="auto"/>
              <w:bottom w:val="single" w:sz="4" w:space="0" w:color="auto"/>
              <w:right w:val="single" w:sz="4" w:space="0" w:color="auto"/>
            </w:tcBorders>
            <w:vAlign w:val="center"/>
          </w:tcPr>
          <w:p w14:paraId="27CFC984" w14:textId="77777777" w:rsidR="00570259" w:rsidRPr="001270F1" w:rsidRDefault="00570259" w:rsidP="00665090">
            <w:pPr>
              <w:snapToGrid w:val="0"/>
              <w:spacing w:before="120" w:after="120"/>
              <w:jc w:val="center"/>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Zakat</w:t>
            </w:r>
          </w:p>
        </w:tc>
        <w:tc>
          <w:tcPr>
            <w:tcW w:w="4048" w:type="dxa"/>
            <w:tcBorders>
              <w:left w:val="single" w:sz="4" w:space="0" w:color="auto"/>
              <w:bottom w:val="single" w:sz="4" w:space="0" w:color="auto"/>
              <w:right w:val="single" w:sz="4" w:space="0" w:color="auto"/>
            </w:tcBorders>
            <w:vAlign w:val="center"/>
          </w:tcPr>
          <w:p w14:paraId="6972A7A7" w14:textId="77777777" w:rsidR="00570259" w:rsidRPr="001270F1" w:rsidRDefault="00570259" w:rsidP="00665090">
            <w:pPr>
              <w:snapToGrid w:val="0"/>
              <w:spacing w:before="120" w:after="12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“He who performs three things will have the taste of the faith. (They are:) One who worships Allah alone, one who believes that there is no god but Allah, and one who pays the zakat on his property agreeably every year. (Sunan Abi Dawud, hadith no. 1582)</w:t>
            </w:r>
          </w:p>
        </w:tc>
        <w:tc>
          <w:tcPr>
            <w:tcW w:w="3203" w:type="dxa"/>
            <w:tcBorders>
              <w:left w:val="single" w:sz="4" w:space="0" w:color="auto"/>
              <w:bottom w:val="single" w:sz="4" w:space="0" w:color="auto"/>
              <w:right w:val="single" w:sz="4" w:space="0" w:color="auto"/>
            </w:tcBorders>
          </w:tcPr>
          <w:p w14:paraId="6E9699EE" w14:textId="77777777" w:rsidR="00570259" w:rsidRPr="001270F1" w:rsidRDefault="00570259" w:rsidP="00665090">
            <w:pPr>
              <w:pStyle w:val="ListParagraph"/>
              <w:numPr>
                <w:ilvl w:val="0"/>
                <w:numId w:val="7"/>
              </w:numPr>
              <w:snapToGrid w:val="0"/>
              <w:spacing w:before="120" w:after="120"/>
              <w:ind w:left="355"/>
              <w:contextualSpacing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Financial relief</w:t>
            </w:r>
          </w:p>
          <w:p w14:paraId="229C22F8" w14:textId="77777777" w:rsidR="00570259" w:rsidRPr="001270F1" w:rsidRDefault="00570259" w:rsidP="00665090">
            <w:pPr>
              <w:pStyle w:val="ListParagraph"/>
              <w:numPr>
                <w:ilvl w:val="0"/>
                <w:numId w:val="7"/>
              </w:numPr>
              <w:snapToGrid w:val="0"/>
              <w:spacing w:before="120" w:after="120"/>
              <w:ind w:left="355"/>
              <w:contextualSpacing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Cash payments</w:t>
            </w:r>
          </w:p>
          <w:p w14:paraId="5AF63FF6" w14:textId="77777777" w:rsidR="00570259" w:rsidRPr="001270F1" w:rsidRDefault="00570259" w:rsidP="00665090">
            <w:pPr>
              <w:pStyle w:val="ListParagraph"/>
              <w:numPr>
                <w:ilvl w:val="0"/>
                <w:numId w:val="7"/>
              </w:numPr>
              <w:snapToGrid w:val="0"/>
              <w:spacing w:before="120" w:after="120"/>
              <w:ind w:left="355"/>
              <w:contextualSpacing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Immediate disbursement</w:t>
            </w:r>
          </w:p>
          <w:p w14:paraId="34009F3A" w14:textId="77777777" w:rsidR="00570259" w:rsidRPr="001270F1" w:rsidRDefault="00570259" w:rsidP="00665090">
            <w:pPr>
              <w:pStyle w:val="ListParagraph"/>
              <w:numPr>
                <w:ilvl w:val="0"/>
                <w:numId w:val="7"/>
              </w:numPr>
              <w:snapToGrid w:val="0"/>
              <w:spacing w:before="120" w:after="120"/>
              <w:ind w:left="355"/>
              <w:contextualSpacing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Restricted beneficiaries and impact</w:t>
            </w:r>
          </w:p>
          <w:p w14:paraId="16E94C44" w14:textId="77777777" w:rsidR="00570259" w:rsidRPr="001270F1" w:rsidRDefault="00570259" w:rsidP="00665090">
            <w:pPr>
              <w:pStyle w:val="ListParagraph"/>
              <w:numPr>
                <w:ilvl w:val="0"/>
                <w:numId w:val="8"/>
              </w:numPr>
              <w:snapToGrid w:val="0"/>
              <w:spacing w:before="120" w:after="120"/>
              <w:ind w:left="355"/>
              <w:contextualSpacing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20"/>
                <w:szCs w:val="20"/>
                <w:lang w:val="en-US"/>
              </w:rPr>
            </w:pPr>
            <w:r w:rsidRPr="001270F1">
              <w:rPr>
                <w:rFonts w:ascii="Calibri" w:hAnsi="Calibri" w:cs="Calibri"/>
                <w:color w:val="000000" w:themeColor="text1"/>
                <w:sz w:val="20"/>
                <w:szCs w:val="20"/>
                <w:lang w:val="en-US"/>
              </w:rPr>
              <w:t>Centralized fund</w:t>
            </w:r>
          </w:p>
        </w:tc>
      </w:tr>
    </w:tbl>
    <w:p w14:paraId="4551A438" w14:textId="77777777" w:rsidR="00570259" w:rsidRPr="001270F1" w:rsidRDefault="00570259" w:rsidP="00665090">
      <w:pPr>
        <w:snapToGrid w:val="0"/>
        <w:spacing w:before="120" w:after="120"/>
        <w:jc w:val="both"/>
        <w:rPr>
          <w:rFonts w:ascii="Calibri" w:hAnsi="Calibri" w:cs="Calibri"/>
          <w:i/>
          <w:iCs/>
          <w:color w:val="000000" w:themeColor="text1"/>
          <w:sz w:val="22"/>
          <w:szCs w:val="22"/>
        </w:rPr>
      </w:pPr>
      <w:r w:rsidRPr="001270F1">
        <w:rPr>
          <w:rFonts w:ascii="Calibri" w:hAnsi="Calibri" w:cs="Calibri"/>
          <w:i/>
          <w:iCs/>
          <w:color w:val="000000" w:themeColor="text1"/>
          <w:sz w:val="22"/>
          <w:szCs w:val="22"/>
        </w:rPr>
        <w:t>Source: Authors’ compilation</w:t>
      </w:r>
    </w:p>
    <w:p w14:paraId="6815E4B0" w14:textId="2CA6D6FB" w:rsidR="00570259" w:rsidRPr="001270F1" w:rsidRDefault="00570259" w:rsidP="00665090">
      <w:pPr>
        <w:snapToGrid w:val="0"/>
        <w:spacing w:before="120" w:after="120"/>
        <w:ind w:firstLine="360"/>
        <w:jc w:val="both"/>
        <w:rPr>
          <w:rFonts w:ascii="Calibri" w:hAnsi="Calibri" w:cs="Calibri"/>
          <w:color w:val="000000" w:themeColor="text1"/>
        </w:rPr>
      </w:pPr>
      <w:r w:rsidRPr="001270F1">
        <w:rPr>
          <w:rFonts w:ascii="Calibri" w:hAnsi="Calibri" w:cs="Calibri"/>
          <w:color w:val="000000" w:themeColor="text1"/>
        </w:rPr>
        <w:t>Furthermore, ISF elevates the moral responsibility of charitable giving to a higher order and made zakat (one if ISF instruments) as a pillar of the religion</w:t>
      </w:r>
      <w:r w:rsidRPr="001270F1">
        <w:rPr>
          <w:rStyle w:val="FootnoteReference"/>
          <w:rFonts w:ascii="Calibri" w:hAnsi="Calibri" w:cs="Calibri"/>
          <w:color w:val="000000" w:themeColor="text1"/>
        </w:rPr>
        <w:footnoteReference w:id="1"/>
      </w:r>
      <w:r w:rsidRPr="001270F1">
        <w:rPr>
          <w:rFonts w:ascii="Calibri" w:hAnsi="Calibri" w:cs="Calibri"/>
          <w:color w:val="000000" w:themeColor="text1"/>
        </w:rPr>
        <w:t>. It also mirrors an Islamic form of civic education that fosters altruistic behavior in living a socially responsible life.  Table 1 shows some of the theological and ontological drives that fashion ISF activities.</w:t>
      </w:r>
    </w:p>
    <w:p w14:paraId="5CE111AE" w14:textId="41F486A6" w:rsidR="0033114B" w:rsidRPr="001270F1" w:rsidRDefault="0033114B" w:rsidP="00665090">
      <w:pPr>
        <w:snapToGrid w:val="0"/>
        <w:spacing w:before="120" w:after="120"/>
        <w:ind w:firstLine="720"/>
        <w:jc w:val="both"/>
        <w:rPr>
          <w:rFonts w:ascii="Calibri" w:hAnsi="Calibri" w:cs="Calibri"/>
          <w:color w:val="000000" w:themeColor="text1"/>
        </w:rPr>
      </w:pPr>
      <w:r w:rsidRPr="001270F1">
        <w:rPr>
          <w:rFonts w:ascii="Calibri" w:hAnsi="Calibri" w:cs="Calibri"/>
          <w:color w:val="000000" w:themeColor="text1"/>
        </w:rPr>
        <w:t xml:space="preserve">Moreover, the Islamic Social Financing models’ emphasis on upholding </w:t>
      </w:r>
      <w:r w:rsidR="007D4E76" w:rsidRPr="001270F1">
        <w:rPr>
          <w:rFonts w:ascii="Calibri" w:hAnsi="Calibri" w:cs="Calibri"/>
          <w:color w:val="000000" w:themeColor="text1"/>
        </w:rPr>
        <w:t>morality influences</w:t>
      </w:r>
      <w:r w:rsidRPr="001270F1">
        <w:rPr>
          <w:rFonts w:ascii="Calibri" w:hAnsi="Calibri" w:cs="Calibri"/>
          <w:color w:val="000000" w:themeColor="text1"/>
        </w:rPr>
        <w:t xml:space="preserve"> the investment </w:t>
      </w:r>
      <w:r w:rsidR="00A32904" w:rsidRPr="001270F1">
        <w:rPr>
          <w:rFonts w:ascii="Calibri" w:hAnsi="Calibri" w:cs="Calibri"/>
          <w:color w:val="000000" w:themeColor="text1"/>
        </w:rPr>
        <w:t xml:space="preserve">choice </w:t>
      </w:r>
      <w:r w:rsidRPr="001270F1">
        <w:rPr>
          <w:rFonts w:ascii="Calibri" w:hAnsi="Calibri" w:cs="Calibri"/>
          <w:color w:val="000000" w:themeColor="text1"/>
        </w:rPr>
        <w:t xml:space="preserve">of ethical business practices and social projects, which is significantly </w:t>
      </w:r>
      <w:r w:rsidR="007B38CF" w:rsidRPr="001270F1">
        <w:rPr>
          <w:rFonts w:ascii="Calibri" w:hAnsi="Calibri" w:cs="Calibri"/>
          <w:color w:val="000000" w:themeColor="text1"/>
        </w:rPr>
        <w:t xml:space="preserve">observed </w:t>
      </w:r>
      <w:r w:rsidRPr="001270F1">
        <w:rPr>
          <w:rFonts w:ascii="Calibri" w:hAnsi="Calibri" w:cs="Calibri"/>
          <w:color w:val="000000" w:themeColor="text1"/>
        </w:rPr>
        <w:t xml:space="preserve">in micro-financing. Countries such as Bangladesh, which attract large </w:t>
      </w:r>
      <w:r w:rsidRPr="001270F1">
        <w:rPr>
          <w:rFonts w:ascii="Calibri" w:hAnsi="Calibri" w:cs="Calibri"/>
          <w:color w:val="000000" w:themeColor="text1"/>
        </w:rPr>
        <w:lastRenderedPageBreak/>
        <w:t xml:space="preserve">micro-financing firms and investment agencies, are unable to find a sustainable, yet effective micro-financing model that benefits the population. Some micro-financing cases in conventional methods revealed higher </w:t>
      </w:r>
      <w:r w:rsidR="007B38CF" w:rsidRPr="001270F1">
        <w:rPr>
          <w:rFonts w:ascii="Calibri" w:hAnsi="Calibri" w:cs="Calibri"/>
          <w:color w:val="000000" w:themeColor="text1"/>
        </w:rPr>
        <w:t xml:space="preserve">default </w:t>
      </w:r>
      <w:r w:rsidRPr="001270F1">
        <w:rPr>
          <w:rFonts w:ascii="Calibri" w:hAnsi="Calibri" w:cs="Calibri"/>
          <w:color w:val="000000" w:themeColor="text1"/>
        </w:rPr>
        <w:t>rates, causing borrowers to spiral further into debt than before. In contrast, Islamic micro-financing is modeled to provide the poor with three major services, micro-credit, micro-</w:t>
      </w:r>
      <w:r w:rsidR="007B38CF" w:rsidRPr="001270F1">
        <w:rPr>
          <w:rFonts w:ascii="Calibri" w:hAnsi="Calibri" w:cs="Calibri"/>
          <w:color w:val="000000" w:themeColor="text1"/>
        </w:rPr>
        <w:t>savings,</w:t>
      </w:r>
      <w:r w:rsidRPr="001270F1">
        <w:rPr>
          <w:rFonts w:ascii="Calibri" w:hAnsi="Calibri" w:cs="Calibri"/>
          <w:color w:val="000000" w:themeColor="text1"/>
        </w:rPr>
        <w:t xml:space="preserve"> and micro-</w:t>
      </w:r>
      <w:r w:rsidR="007B38CF" w:rsidRPr="001270F1">
        <w:rPr>
          <w:rFonts w:ascii="Calibri" w:hAnsi="Calibri" w:cs="Calibri"/>
          <w:color w:val="000000" w:themeColor="text1"/>
        </w:rPr>
        <w:t>insurance</w:t>
      </w:r>
      <w:r w:rsidRPr="001270F1">
        <w:rPr>
          <w:rFonts w:ascii="Calibri" w:hAnsi="Calibri" w:cs="Calibri"/>
          <w:color w:val="000000" w:themeColor="text1"/>
        </w:rPr>
        <w:t xml:space="preserve"> (Usman, 2016). Each of these proves to have a fundamental connection to Islam as shown in </w:t>
      </w:r>
      <w:r w:rsidR="00D14128" w:rsidRPr="001270F1">
        <w:rPr>
          <w:rFonts w:ascii="Calibri" w:hAnsi="Calibri" w:cs="Calibri"/>
          <w:color w:val="000000" w:themeColor="text1"/>
        </w:rPr>
        <w:t>figure 1</w:t>
      </w:r>
      <w:r w:rsidRPr="001270F1">
        <w:rPr>
          <w:rFonts w:ascii="Calibri" w:hAnsi="Calibri" w:cs="Calibri"/>
          <w:color w:val="000000" w:themeColor="text1"/>
        </w:rPr>
        <w:t xml:space="preserve"> below. </w:t>
      </w:r>
    </w:p>
    <w:p w14:paraId="5E511ECA" w14:textId="77777777" w:rsidR="007B38CF" w:rsidRPr="001270F1" w:rsidRDefault="007B38CF" w:rsidP="00665090">
      <w:pPr>
        <w:snapToGrid w:val="0"/>
        <w:spacing w:before="120" w:after="120"/>
        <w:jc w:val="both"/>
        <w:rPr>
          <w:rFonts w:ascii="Calibri" w:hAnsi="Calibri" w:cs="Calibri"/>
          <w:i/>
          <w:iCs/>
          <w:color w:val="000000" w:themeColor="text1"/>
          <w:sz w:val="22"/>
          <w:szCs w:val="22"/>
        </w:rPr>
      </w:pPr>
    </w:p>
    <w:p w14:paraId="477DF670" w14:textId="74543A65" w:rsidR="00A32904" w:rsidRPr="001270F1" w:rsidRDefault="00A32904" w:rsidP="00665090">
      <w:pPr>
        <w:snapToGrid w:val="0"/>
        <w:spacing w:before="120" w:after="120"/>
        <w:jc w:val="both"/>
        <w:rPr>
          <w:rFonts w:ascii="Calibri" w:hAnsi="Calibri" w:cs="Calibri"/>
          <w:i/>
          <w:iCs/>
          <w:color w:val="000000" w:themeColor="text1"/>
          <w:sz w:val="22"/>
          <w:szCs w:val="22"/>
        </w:rPr>
      </w:pPr>
      <w:r w:rsidRPr="001270F1">
        <w:rPr>
          <w:rFonts w:ascii="Calibri" w:hAnsi="Calibri" w:cs="Calibri"/>
          <w:i/>
          <w:iCs/>
          <w:color w:val="000000" w:themeColor="text1"/>
          <w:sz w:val="22"/>
          <w:szCs w:val="22"/>
        </w:rPr>
        <w:t xml:space="preserve">Figure 1: Islamic Micro Finance Structures </w:t>
      </w:r>
    </w:p>
    <w:p w14:paraId="6A34FD67" w14:textId="6090FFEC" w:rsidR="0033114B" w:rsidRPr="001270F1" w:rsidRDefault="00A32904" w:rsidP="00665090">
      <w:pPr>
        <w:snapToGrid w:val="0"/>
        <w:spacing w:before="120" w:after="120"/>
        <w:jc w:val="center"/>
        <w:rPr>
          <w:rFonts w:ascii="Calibri" w:hAnsi="Calibri" w:cs="Calibri"/>
          <w:color w:val="000000" w:themeColor="text1"/>
        </w:rPr>
      </w:pPr>
      <w:r w:rsidRPr="001270F1">
        <w:rPr>
          <w:rFonts w:ascii="Calibri" w:hAnsi="Calibri" w:cs="Calibri"/>
          <w:noProof/>
          <w:color w:val="000000" w:themeColor="text1"/>
        </w:rPr>
        <mc:AlternateContent>
          <mc:Choice Requires="wps">
            <w:drawing>
              <wp:inline distT="0" distB="0" distL="0" distR="0" wp14:anchorId="30FB8CE0" wp14:editId="366A8505">
                <wp:extent cx="4580255" cy="2760785"/>
                <wp:effectExtent l="0" t="0" r="17145" b="8255"/>
                <wp:docPr id="30" name="Text Box 30"/>
                <wp:cNvGraphicFramePr/>
                <a:graphic xmlns:a="http://schemas.openxmlformats.org/drawingml/2006/main">
                  <a:graphicData uri="http://schemas.microsoft.com/office/word/2010/wordprocessingShape">
                    <wps:wsp>
                      <wps:cNvSpPr txBox="1"/>
                      <wps:spPr>
                        <a:xfrm>
                          <a:off x="0" y="0"/>
                          <a:ext cx="4580255" cy="2760785"/>
                        </a:xfrm>
                        <a:prstGeom prst="rect">
                          <a:avLst/>
                        </a:prstGeom>
                        <a:solidFill>
                          <a:schemeClr val="lt1"/>
                        </a:solidFill>
                        <a:ln w="6350">
                          <a:solidFill>
                            <a:prstClr val="black"/>
                          </a:solidFill>
                        </a:ln>
                      </wps:spPr>
                      <wps:txbx>
                        <w:txbxContent>
                          <w:p w14:paraId="0F2E7859" w14:textId="2D01DB26" w:rsidR="00A32904" w:rsidRDefault="00A32904" w:rsidP="00A32904">
                            <w:pPr>
                              <w:jc w:val="center"/>
                            </w:pPr>
                          </w:p>
                          <w:p w14:paraId="3B40FF72" w14:textId="0A7E1A4F" w:rsidR="00A32904" w:rsidRDefault="007B38CF" w:rsidP="00A32904">
                            <w:pPr>
                              <w:jc w:val="center"/>
                            </w:pPr>
                            <w:r>
                              <w:rPr>
                                <w:noProof/>
                              </w:rPr>
                              <w:drawing>
                                <wp:inline distT="0" distB="0" distL="0" distR="0" wp14:anchorId="22C3F762" wp14:editId="3402BCA7">
                                  <wp:extent cx="4391025" cy="2392680"/>
                                  <wp:effectExtent l="0" t="0" r="3175" b="0"/>
                                  <wp:docPr id="32" name="Picture 3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close up of a piece of pap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91025" cy="23926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0FB8CE0" id="_x0000_t202" coordsize="21600,21600" o:spt="202" path="m,l,21600r21600,l21600,xe">
                <v:stroke joinstyle="miter"/>
                <v:path gradientshapeok="t" o:connecttype="rect"/>
              </v:shapetype>
              <v:shape id="Text Box 30" o:spid="_x0000_s1026" type="#_x0000_t202" style="width:360.65pt;height:2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" fillcolor="white [3201]" strokeweight=".5pt">
                <v:textbox>
                  <w:txbxContent>
                    <w:p w14:paraId="0F2E7859" w14:textId="2D01DB26" w:rsidR="00A32904" w:rsidRDefault="00A32904" w:rsidP="00A32904">
                      <w:pPr>
                        <w:jc w:val="center"/>
                      </w:pPr>
                    </w:p>
                    <w:p w14:paraId="3B40FF72" w14:textId="0A7E1A4F" w:rsidR="00A32904" w:rsidRDefault="007B38CF" w:rsidP="00A32904">
                      <w:pPr>
                        <w:jc w:val="center"/>
                      </w:pPr>
                      <w:r>
                        <w:rPr>
                          <w:noProof/>
                        </w:rPr>
                        <w:drawing>
                          <wp:inline distT="0" distB="0" distL="0" distR="0" wp14:anchorId="22C3F762" wp14:editId="3402BCA7">
                            <wp:extent cx="4391025" cy="2392680"/>
                            <wp:effectExtent l="0" t="0" r="3175" b="0"/>
                            <wp:docPr id="32" name="Picture 3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close up of a piece of pap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91025" cy="2392680"/>
                                    </a:xfrm>
                                    <a:prstGeom prst="rect">
                                      <a:avLst/>
                                    </a:prstGeom>
                                  </pic:spPr>
                                </pic:pic>
                              </a:graphicData>
                            </a:graphic>
                          </wp:inline>
                        </w:drawing>
                      </w:r>
                    </w:p>
                  </w:txbxContent>
                </v:textbox>
                <w10:anchorlock/>
              </v:shape>
            </w:pict>
          </mc:Fallback>
        </mc:AlternateContent>
      </w:r>
    </w:p>
    <w:p w14:paraId="71E68279" w14:textId="7D670C82" w:rsidR="0033114B" w:rsidRPr="001270F1" w:rsidRDefault="00A32904" w:rsidP="00665090">
      <w:pPr>
        <w:snapToGrid w:val="0"/>
        <w:spacing w:before="120" w:after="120"/>
        <w:jc w:val="both"/>
        <w:rPr>
          <w:rFonts w:ascii="Calibri" w:hAnsi="Calibri" w:cs="Calibri"/>
          <w:i/>
          <w:iCs/>
          <w:color w:val="000000" w:themeColor="text1"/>
          <w:sz w:val="22"/>
          <w:szCs w:val="22"/>
        </w:rPr>
      </w:pPr>
      <w:r w:rsidRPr="001270F1">
        <w:rPr>
          <w:rFonts w:ascii="Calibri" w:hAnsi="Calibri" w:cs="Calibri"/>
          <w:i/>
          <w:iCs/>
          <w:color w:val="000000" w:themeColor="text1"/>
          <w:sz w:val="22"/>
          <w:szCs w:val="22"/>
        </w:rPr>
        <w:t>Source: Adopted from GIFR (2012)</w:t>
      </w:r>
    </w:p>
    <w:p w14:paraId="2149503A" w14:textId="4456FA0E" w:rsidR="007D4E76" w:rsidRPr="001270F1" w:rsidRDefault="0033114B" w:rsidP="00665090">
      <w:pPr>
        <w:snapToGrid w:val="0"/>
        <w:spacing w:before="120" w:after="120"/>
        <w:ind w:firstLine="720"/>
        <w:jc w:val="both"/>
        <w:rPr>
          <w:rFonts w:ascii="Calibri" w:hAnsi="Calibri" w:cs="Calibri"/>
          <w:color w:val="000000" w:themeColor="text1"/>
        </w:rPr>
      </w:pPr>
      <w:r w:rsidRPr="001270F1">
        <w:rPr>
          <w:rFonts w:ascii="Calibri" w:hAnsi="Calibri" w:cs="Calibri"/>
          <w:color w:val="000000" w:themeColor="text1"/>
        </w:rPr>
        <w:t>The Islamic micro-financing model primarily aims to alleviate poverty by creating a very sustainable form of lending. Firstly, the loan given out is interest-free</w:t>
      </w:r>
      <w:r w:rsidR="007B38CF" w:rsidRPr="001270F1">
        <w:rPr>
          <w:rFonts w:ascii="Calibri" w:hAnsi="Calibri" w:cs="Calibri"/>
          <w:color w:val="000000" w:themeColor="text1"/>
        </w:rPr>
        <w:t>, which is</w:t>
      </w:r>
      <w:r w:rsidRPr="001270F1">
        <w:rPr>
          <w:rFonts w:ascii="Calibri" w:hAnsi="Calibri" w:cs="Calibri"/>
          <w:color w:val="000000" w:themeColor="text1"/>
        </w:rPr>
        <w:t xml:space="preserve"> </w:t>
      </w:r>
      <w:r w:rsidR="007B38CF" w:rsidRPr="001270F1">
        <w:rPr>
          <w:rFonts w:ascii="Calibri" w:hAnsi="Calibri" w:cs="Calibri"/>
          <w:color w:val="000000" w:themeColor="text1"/>
        </w:rPr>
        <w:t>a primary principle of</w:t>
      </w:r>
      <w:r w:rsidRPr="001270F1">
        <w:rPr>
          <w:rFonts w:ascii="Calibri" w:hAnsi="Calibri" w:cs="Calibri"/>
          <w:color w:val="000000" w:themeColor="text1"/>
        </w:rPr>
        <w:t xml:space="preserve"> ISF. This</w:t>
      </w:r>
      <w:r w:rsidR="007B38CF" w:rsidRPr="001270F1">
        <w:rPr>
          <w:rFonts w:ascii="Calibri" w:hAnsi="Calibri" w:cs="Calibri"/>
          <w:color w:val="000000" w:themeColor="text1"/>
        </w:rPr>
        <w:t>,</w:t>
      </w:r>
      <w:r w:rsidRPr="001270F1">
        <w:rPr>
          <w:rFonts w:ascii="Calibri" w:hAnsi="Calibri" w:cs="Calibri"/>
          <w:color w:val="000000" w:themeColor="text1"/>
        </w:rPr>
        <w:t xml:space="preserve"> in effect</w:t>
      </w:r>
      <w:r w:rsidR="007B38CF" w:rsidRPr="001270F1">
        <w:rPr>
          <w:rFonts w:ascii="Calibri" w:hAnsi="Calibri" w:cs="Calibri"/>
          <w:color w:val="000000" w:themeColor="text1"/>
        </w:rPr>
        <w:t>,</w:t>
      </w:r>
      <w:r w:rsidRPr="001270F1">
        <w:rPr>
          <w:rFonts w:ascii="Calibri" w:hAnsi="Calibri" w:cs="Calibri"/>
          <w:color w:val="000000" w:themeColor="text1"/>
        </w:rPr>
        <w:t xml:space="preserve"> lessens the burden on a family to borrow in the first place. </w:t>
      </w:r>
      <w:r w:rsidR="007B38CF" w:rsidRPr="001270F1">
        <w:rPr>
          <w:rFonts w:ascii="Calibri" w:hAnsi="Calibri" w:cs="Calibri"/>
          <w:color w:val="000000" w:themeColor="text1"/>
        </w:rPr>
        <w:t>In many cases, defaulting on loans with interest can create long-term problems. However, by eradicating that completely, people are more likely to take loans and more likely to repay them.</w:t>
      </w:r>
    </w:p>
    <w:p w14:paraId="082ACDCA" w14:textId="48E8FDF6" w:rsidR="0033114B" w:rsidRPr="001270F1" w:rsidRDefault="0033114B" w:rsidP="00665090">
      <w:pPr>
        <w:snapToGrid w:val="0"/>
        <w:spacing w:before="120" w:after="120"/>
        <w:ind w:firstLine="720"/>
        <w:jc w:val="both"/>
        <w:rPr>
          <w:rFonts w:ascii="Calibri" w:hAnsi="Calibri" w:cs="Calibri"/>
          <w:color w:val="000000" w:themeColor="text1"/>
        </w:rPr>
      </w:pPr>
      <w:r w:rsidRPr="001270F1">
        <w:rPr>
          <w:rFonts w:ascii="Calibri" w:hAnsi="Calibri" w:cs="Calibri"/>
          <w:color w:val="000000" w:themeColor="text1"/>
        </w:rPr>
        <w:t>Secondly, Islamic micro-finance operates in a human</w:t>
      </w:r>
      <w:r w:rsidR="007B38CF" w:rsidRPr="001270F1">
        <w:rPr>
          <w:rFonts w:ascii="Calibri" w:hAnsi="Calibri" w:cs="Calibri"/>
          <w:color w:val="000000" w:themeColor="text1"/>
        </w:rPr>
        <w:t>-</w:t>
      </w:r>
      <w:r w:rsidRPr="001270F1">
        <w:rPr>
          <w:rFonts w:ascii="Calibri" w:hAnsi="Calibri" w:cs="Calibri"/>
          <w:color w:val="000000" w:themeColor="text1"/>
        </w:rPr>
        <w:t>centered manner, whos</w:t>
      </w:r>
      <w:r w:rsidR="007B38CF" w:rsidRPr="001270F1">
        <w:rPr>
          <w:rFonts w:ascii="Calibri" w:hAnsi="Calibri" w:cs="Calibri"/>
          <w:color w:val="000000" w:themeColor="text1"/>
        </w:rPr>
        <w:t>e</w:t>
      </w:r>
      <w:r w:rsidRPr="001270F1">
        <w:rPr>
          <w:rFonts w:ascii="Calibri" w:hAnsi="Calibri" w:cs="Calibri"/>
          <w:color w:val="000000" w:themeColor="text1"/>
        </w:rPr>
        <w:t xml:space="preserve"> primary focus is to help those in need and is done by not holding anything as collateral. </w:t>
      </w:r>
      <w:r w:rsidR="007B38CF" w:rsidRPr="001270F1">
        <w:rPr>
          <w:rFonts w:ascii="Calibri" w:hAnsi="Calibri" w:cs="Calibri"/>
          <w:color w:val="000000" w:themeColor="text1"/>
        </w:rPr>
        <w:t>This is substituted by the bank or firm purchasing a business or capital and renting it out to the lessee until the original deal's repayment, which significantly, in return, reduces the default risk.</w:t>
      </w:r>
      <w:r w:rsidRPr="001270F1">
        <w:rPr>
          <w:rFonts w:ascii="Calibri" w:hAnsi="Calibri" w:cs="Calibri"/>
          <w:color w:val="000000" w:themeColor="text1"/>
        </w:rPr>
        <w:t xml:space="preserve"> However, in micro-insurance, where it is difficult to do the same, collateral is substituted by holding the community accountable. If a lessee default</w:t>
      </w:r>
      <w:r w:rsidR="007B38CF" w:rsidRPr="001270F1">
        <w:rPr>
          <w:rFonts w:ascii="Calibri" w:hAnsi="Calibri" w:cs="Calibri"/>
          <w:color w:val="000000" w:themeColor="text1"/>
        </w:rPr>
        <w:t>s</w:t>
      </w:r>
      <w:r w:rsidRPr="001270F1">
        <w:rPr>
          <w:rFonts w:ascii="Calibri" w:hAnsi="Calibri" w:cs="Calibri"/>
          <w:color w:val="000000" w:themeColor="text1"/>
        </w:rPr>
        <w:t>, their neighbors will not be able to take out loans in the future. This invites peer pressure and community building into the process</w:t>
      </w:r>
      <w:r w:rsidR="007D4E76" w:rsidRPr="001270F1">
        <w:rPr>
          <w:rFonts w:ascii="Calibri" w:hAnsi="Calibri" w:cs="Calibri"/>
          <w:color w:val="000000" w:themeColor="text1"/>
        </w:rPr>
        <w:t>,</w:t>
      </w:r>
      <w:r w:rsidRPr="001270F1">
        <w:rPr>
          <w:rFonts w:ascii="Calibri" w:hAnsi="Calibri" w:cs="Calibri"/>
          <w:color w:val="000000" w:themeColor="text1"/>
        </w:rPr>
        <w:t xml:space="preserve"> which greatly decrease</w:t>
      </w:r>
      <w:r w:rsidR="007D4E76" w:rsidRPr="001270F1">
        <w:rPr>
          <w:rFonts w:ascii="Calibri" w:hAnsi="Calibri" w:cs="Calibri"/>
          <w:color w:val="000000" w:themeColor="text1"/>
        </w:rPr>
        <w:t>s</w:t>
      </w:r>
      <w:r w:rsidRPr="001270F1">
        <w:rPr>
          <w:rFonts w:ascii="Calibri" w:hAnsi="Calibri" w:cs="Calibri"/>
          <w:color w:val="000000" w:themeColor="text1"/>
        </w:rPr>
        <w:t xml:space="preserve"> the risk of default</w:t>
      </w:r>
      <w:r w:rsidR="007D4E76" w:rsidRPr="001270F1">
        <w:rPr>
          <w:rFonts w:ascii="Calibri" w:hAnsi="Calibri" w:cs="Calibri"/>
          <w:color w:val="000000" w:themeColor="text1"/>
        </w:rPr>
        <w:t>,</w:t>
      </w:r>
      <w:r w:rsidRPr="001270F1">
        <w:rPr>
          <w:rFonts w:ascii="Calibri" w:hAnsi="Calibri" w:cs="Calibri"/>
          <w:color w:val="000000" w:themeColor="text1"/>
        </w:rPr>
        <w:t xml:space="preserve"> especially in South Asian regions where communities are close</w:t>
      </w:r>
      <w:r w:rsidR="007D4E76" w:rsidRPr="001270F1">
        <w:rPr>
          <w:rFonts w:ascii="Calibri" w:hAnsi="Calibri" w:cs="Calibri"/>
          <w:color w:val="000000" w:themeColor="text1"/>
        </w:rPr>
        <w:t>-</w:t>
      </w:r>
      <w:r w:rsidRPr="001270F1">
        <w:rPr>
          <w:rFonts w:ascii="Calibri" w:hAnsi="Calibri" w:cs="Calibri"/>
          <w:color w:val="000000" w:themeColor="text1"/>
        </w:rPr>
        <w:t xml:space="preserve">knit. </w:t>
      </w:r>
      <w:r w:rsidR="007D4E76" w:rsidRPr="001270F1">
        <w:rPr>
          <w:rFonts w:ascii="Calibri" w:hAnsi="Calibri" w:cs="Calibri"/>
          <w:color w:val="000000" w:themeColor="text1"/>
        </w:rPr>
        <w:t>Also, m</w:t>
      </w:r>
      <w:r w:rsidRPr="001270F1">
        <w:rPr>
          <w:rFonts w:ascii="Calibri" w:hAnsi="Calibri" w:cs="Calibri"/>
          <w:color w:val="000000" w:themeColor="text1"/>
        </w:rPr>
        <w:t xml:space="preserve">icro-finance </w:t>
      </w:r>
      <w:r w:rsidR="007D4E76" w:rsidRPr="001270F1">
        <w:rPr>
          <w:rFonts w:ascii="Calibri" w:hAnsi="Calibri" w:cs="Calibri"/>
          <w:color w:val="000000" w:themeColor="text1"/>
        </w:rPr>
        <w:t xml:space="preserve">essentially </w:t>
      </w:r>
      <w:r w:rsidRPr="001270F1">
        <w:rPr>
          <w:rFonts w:ascii="Calibri" w:hAnsi="Calibri" w:cs="Calibri"/>
          <w:color w:val="000000" w:themeColor="text1"/>
        </w:rPr>
        <w:t xml:space="preserve">falls under </w:t>
      </w:r>
      <w:proofErr w:type="spellStart"/>
      <w:r w:rsidRPr="001270F1">
        <w:rPr>
          <w:rFonts w:ascii="Calibri" w:hAnsi="Calibri" w:cs="Calibri"/>
          <w:color w:val="000000" w:themeColor="text1"/>
        </w:rPr>
        <w:t>Qard</w:t>
      </w:r>
      <w:proofErr w:type="spellEnd"/>
      <w:r w:rsidRPr="001270F1">
        <w:rPr>
          <w:rFonts w:ascii="Calibri" w:hAnsi="Calibri" w:cs="Calibri"/>
          <w:color w:val="000000" w:themeColor="text1"/>
        </w:rPr>
        <w:t xml:space="preserve"> Hasan</w:t>
      </w:r>
      <w:r w:rsidR="007D4E76" w:rsidRPr="001270F1">
        <w:rPr>
          <w:rFonts w:ascii="Calibri" w:hAnsi="Calibri" w:cs="Calibri"/>
          <w:color w:val="000000" w:themeColor="text1"/>
        </w:rPr>
        <w:t>,</w:t>
      </w:r>
      <w:r w:rsidRPr="001270F1">
        <w:rPr>
          <w:rFonts w:ascii="Calibri" w:hAnsi="Calibri" w:cs="Calibri"/>
          <w:color w:val="000000" w:themeColor="text1"/>
        </w:rPr>
        <w:t xml:space="preserve"> which refers to financial value and literacy. This reiterates the economic dimension</w:t>
      </w:r>
      <w:r w:rsidR="007D4E76" w:rsidRPr="001270F1">
        <w:rPr>
          <w:rFonts w:ascii="Calibri" w:hAnsi="Calibri" w:cs="Calibri"/>
          <w:color w:val="000000" w:themeColor="text1"/>
        </w:rPr>
        <w:t xml:space="preserve"> ethos,</w:t>
      </w:r>
      <w:r w:rsidRPr="001270F1">
        <w:rPr>
          <w:rFonts w:ascii="Calibri" w:hAnsi="Calibri" w:cs="Calibri"/>
          <w:color w:val="000000" w:themeColor="text1"/>
        </w:rPr>
        <w:t xml:space="preserve"> creating a lasting focus on sustainable use of limited resources such as money. </w:t>
      </w:r>
    </w:p>
    <w:p w14:paraId="0427B96A" w14:textId="3259BC21" w:rsidR="007D4E76" w:rsidRPr="001270F1" w:rsidRDefault="007D4E76" w:rsidP="00665090">
      <w:pPr>
        <w:snapToGrid w:val="0"/>
        <w:spacing w:before="120" w:after="120"/>
        <w:jc w:val="both"/>
        <w:rPr>
          <w:rFonts w:ascii="Calibri" w:hAnsi="Calibri" w:cs="Calibri"/>
          <w:color w:val="000000" w:themeColor="text1"/>
        </w:rPr>
      </w:pPr>
      <w:r w:rsidRPr="001270F1">
        <w:rPr>
          <w:rFonts w:ascii="Calibri" w:hAnsi="Calibri" w:cs="Calibri"/>
          <w:color w:val="000000" w:themeColor="text1"/>
        </w:rPr>
        <w:t xml:space="preserve">All in all, </w:t>
      </w:r>
      <w:r w:rsidR="0033114B" w:rsidRPr="001270F1">
        <w:rPr>
          <w:rFonts w:ascii="Calibri" w:hAnsi="Calibri" w:cs="Calibri"/>
          <w:color w:val="000000" w:themeColor="text1"/>
        </w:rPr>
        <w:t xml:space="preserve">Islamic micro-financing is </w:t>
      </w:r>
      <w:r w:rsidRPr="001270F1">
        <w:rPr>
          <w:rFonts w:ascii="Calibri" w:hAnsi="Calibri" w:cs="Calibri"/>
          <w:color w:val="000000" w:themeColor="text1"/>
        </w:rPr>
        <w:t xml:space="preserve">one of the </w:t>
      </w:r>
      <w:r w:rsidR="0033114B" w:rsidRPr="001270F1">
        <w:rPr>
          <w:rFonts w:ascii="Calibri" w:hAnsi="Calibri" w:cs="Calibri"/>
          <w:color w:val="000000" w:themeColor="text1"/>
        </w:rPr>
        <w:t>key agent</w:t>
      </w:r>
      <w:r w:rsidRPr="001270F1">
        <w:rPr>
          <w:rFonts w:ascii="Calibri" w:hAnsi="Calibri" w:cs="Calibri"/>
          <w:color w:val="000000" w:themeColor="text1"/>
        </w:rPr>
        <w:t>s</w:t>
      </w:r>
      <w:r w:rsidR="0033114B" w:rsidRPr="001270F1">
        <w:rPr>
          <w:rFonts w:ascii="Calibri" w:hAnsi="Calibri" w:cs="Calibri"/>
          <w:color w:val="000000" w:themeColor="text1"/>
        </w:rPr>
        <w:t xml:space="preserve"> in advancing the SDGs </w:t>
      </w:r>
      <w:r w:rsidRPr="001270F1">
        <w:rPr>
          <w:rFonts w:ascii="Calibri" w:hAnsi="Calibri" w:cs="Calibri"/>
          <w:color w:val="000000" w:themeColor="text1"/>
        </w:rPr>
        <w:t xml:space="preserve">since </w:t>
      </w:r>
      <w:r w:rsidR="0033114B" w:rsidRPr="001270F1">
        <w:rPr>
          <w:rFonts w:ascii="Calibri" w:hAnsi="Calibri" w:cs="Calibri"/>
          <w:color w:val="000000" w:themeColor="text1"/>
        </w:rPr>
        <w:t xml:space="preserve">they are centered on the notion of contributing towards regional development as opposed to a profitmaking entity. Interest-free loans, social collateral, and even the willingness of providing loans to high risk population collaborates towards the Global Goals in areas of health and </w:t>
      </w:r>
      <w:r w:rsidR="0033114B" w:rsidRPr="001270F1">
        <w:rPr>
          <w:rFonts w:ascii="Calibri" w:hAnsi="Calibri" w:cs="Calibri"/>
          <w:color w:val="000000" w:themeColor="text1"/>
        </w:rPr>
        <w:lastRenderedPageBreak/>
        <w:t xml:space="preserve">wellbeing, ending hunger, building sustainable cities, employment opportunities, and a whole list of other things.  Islamic micro-finance, rather Islamic Finance as a whole, is able to specifically target the vulnerability of the poor in order to promote empowerment and self-reliance amongst communities across the world. </w:t>
      </w:r>
    </w:p>
    <w:p w14:paraId="2AF326CE" w14:textId="77777777" w:rsidR="00570259" w:rsidRPr="001270F1" w:rsidRDefault="00570259" w:rsidP="00665090">
      <w:pPr>
        <w:snapToGrid w:val="0"/>
        <w:spacing w:before="120" w:after="120"/>
        <w:ind w:firstLine="720"/>
        <w:jc w:val="both"/>
        <w:rPr>
          <w:rFonts w:ascii="Calibri" w:hAnsi="Calibri" w:cs="Calibri"/>
          <w:b/>
          <w:bCs/>
          <w:color w:val="000000" w:themeColor="text1"/>
        </w:rPr>
      </w:pPr>
    </w:p>
    <w:p w14:paraId="4D2471C5" w14:textId="77777777" w:rsidR="00570259" w:rsidRPr="001270F1" w:rsidRDefault="00570259" w:rsidP="00665090">
      <w:pPr>
        <w:snapToGrid w:val="0"/>
        <w:spacing w:before="120" w:after="120"/>
        <w:jc w:val="both"/>
        <w:rPr>
          <w:rFonts w:ascii="Calibri" w:hAnsi="Calibri" w:cs="Calibri"/>
          <w:b/>
          <w:bCs/>
          <w:color w:val="000000" w:themeColor="text1"/>
          <w:sz w:val="26"/>
          <w:szCs w:val="26"/>
        </w:rPr>
      </w:pPr>
      <w:r w:rsidRPr="001270F1">
        <w:rPr>
          <w:rFonts w:ascii="Calibri" w:hAnsi="Calibri" w:cs="Calibri"/>
          <w:b/>
          <w:bCs/>
          <w:color w:val="000000" w:themeColor="text1"/>
          <w:sz w:val="26"/>
          <w:szCs w:val="26"/>
        </w:rPr>
        <w:t>Islamic Social Finance and Civic engagement</w:t>
      </w:r>
    </w:p>
    <w:p w14:paraId="0A2D709B" w14:textId="77777777" w:rsidR="00570259" w:rsidRPr="001270F1" w:rsidRDefault="00570259" w:rsidP="00665090">
      <w:pPr>
        <w:snapToGrid w:val="0"/>
        <w:spacing w:before="120" w:after="120"/>
        <w:jc w:val="both"/>
        <w:rPr>
          <w:rFonts w:ascii="Calibri" w:hAnsi="Calibri" w:cs="Calibri"/>
          <w:color w:val="000000" w:themeColor="text1"/>
        </w:rPr>
      </w:pPr>
      <w:r w:rsidRPr="001270F1">
        <w:rPr>
          <w:rFonts w:ascii="Calibri" w:hAnsi="Calibri" w:cs="Calibri"/>
          <w:color w:val="000000" w:themeColor="text1"/>
        </w:rPr>
        <w:t>Unlike conventional social finance, ISF activities are organically ingrained in Muslim societies' moral consciousness</w:t>
      </w:r>
      <w:r w:rsidRPr="001270F1">
        <w:rPr>
          <w:rStyle w:val="FootnoteReference"/>
          <w:rFonts w:ascii="Calibri" w:hAnsi="Calibri" w:cs="Calibri"/>
          <w:color w:val="000000" w:themeColor="text1"/>
        </w:rPr>
        <w:footnoteReference w:id="2"/>
      </w:r>
      <w:r w:rsidRPr="001270F1">
        <w:rPr>
          <w:rFonts w:ascii="Calibri" w:hAnsi="Calibri" w:cs="Calibri"/>
          <w:color w:val="000000" w:themeColor="text1"/>
        </w:rPr>
        <w:t xml:space="preserve">, which is then manifested into global awareness and civic engagement. </w:t>
      </w:r>
    </w:p>
    <w:p w14:paraId="0C459C37" w14:textId="37931E92" w:rsidR="00570259" w:rsidRPr="001270F1" w:rsidRDefault="00570259" w:rsidP="00665090">
      <w:pPr>
        <w:snapToGrid w:val="0"/>
        <w:spacing w:before="120" w:after="120"/>
        <w:ind w:firstLine="720"/>
        <w:jc w:val="both"/>
        <w:rPr>
          <w:rFonts w:ascii="Calibri" w:hAnsi="Calibri" w:cs="Calibri"/>
          <w:color w:val="000000" w:themeColor="text1"/>
        </w:rPr>
      </w:pPr>
      <w:r w:rsidRPr="001270F1">
        <w:rPr>
          <w:rFonts w:ascii="Calibri" w:hAnsi="Calibri" w:cs="Calibri"/>
          <w:color w:val="000000" w:themeColor="text1"/>
        </w:rPr>
        <w:t xml:space="preserve">A current example of ISF engagement on </w:t>
      </w:r>
      <w:r w:rsidR="003455F1" w:rsidRPr="001270F1">
        <w:rPr>
          <w:rFonts w:ascii="Calibri" w:hAnsi="Calibri" w:cs="Calibri"/>
          <w:color w:val="000000" w:themeColor="text1"/>
        </w:rPr>
        <w:t xml:space="preserve">the </w:t>
      </w:r>
      <w:r w:rsidRPr="001270F1">
        <w:rPr>
          <w:rFonts w:ascii="Calibri" w:hAnsi="Calibri" w:cs="Calibri"/>
          <w:color w:val="000000" w:themeColor="text1"/>
        </w:rPr>
        <w:t>global issue can be demonstrated through its involvement in refugee assistance projects. Over the last decades, the number of refugees worldwide has climbed consecutively. There are currently 68.5 million people forcibly displaced worldwide – the highest number since world war 2. Out of this forcibly displaced population, 25.4 million of them are categorized by the United Nations High Commissioner for Refugees (UNHCR) as Refugees as of 2018 (UNHCR, 2019).</w:t>
      </w:r>
      <w:r w:rsidR="00970DA0" w:rsidRPr="001270F1">
        <w:rPr>
          <w:rFonts w:ascii="Calibri" w:hAnsi="Calibri" w:cs="Calibri"/>
          <w:color w:val="000000" w:themeColor="text1"/>
        </w:rPr>
        <w:t xml:space="preserve"> </w:t>
      </w:r>
    </w:p>
    <w:p w14:paraId="65869C68" w14:textId="03046A90" w:rsidR="00570259" w:rsidRPr="001270F1" w:rsidRDefault="00570259" w:rsidP="00665090">
      <w:pPr>
        <w:snapToGrid w:val="0"/>
        <w:spacing w:before="120" w:after="120"/>
        <w:ind w:firstLine="720"/>
        <w:jc w:val="both"/>
        <w:rPr>
          <w:rFonts w:ascii="Calibri" w:hAnsi="Calibri" w:cs="Calibri"/>
          <w:color w:val="000000" w:themeColor="text1"/>
        </w:rPr>
      </w:pPr>
      <w:r w:rsidRPr="001270F1">
        <w:rPr>
          <w:rFonts w:ascii="Calibri" w:hAnsi="Calibri" w:cs="Calibri"/>
          <w:color w:val="000000" w:themeColor="text1"/>
        </w:rPr>
        <w:t xml:space="preserve">In response to this calamity, UNHCR launched a global 'Refugee Zakat Fund' that is collected digitally backed in 2016. </w:t>
      </w:r>
      <w:r w:rsidR="003455F1" w:rsidRPr="001270F1">
        <w:rPr>
          <w:rFonts w:ascii="Calibri" w:hAnsi="Calibri" w:cs="Calibri"/>
          <w:color w:val="000000" w:themeColor="text1"/>
        </w:rPr>
        <w:t xml:space="preserve">Many refugees travel without documentation, clothing, food, or water and are not given a chance to integrate fully into a new society. The UNHCR, using the Zakat Fund, can create make-shift shelters, provide access to food and water, and assist resettles in gaining education and access to employment opportunities. </w:t>
      </w:r>
      <w:r w:rsidRPr="001270F1">
        <w:rPr>
          <w:rFonts w:ascii="Calibri" w:hAnsi="Calibri" w:cs="Calibri"/>
          <w:color w:val="000000" w:themeColor="text1"/>
        </w:rPr>
        <w:t>As illustrated in table 1, assisting people in distress is a part of Muslim ontological believes. The prophet (</w:t>
      </w:r>
      <w:proofErr w:type="spellStart"/>
      <w:r w:rsidRPr="001270F1">
        <w:rPr>
          <w:rFonts w:ascii="Calibri" w:hAnsi="Calibri" w:cs="Calibri"/>
          <w:color w:val="000000" w:themeColor="text1"/>
        </w:rPr>
        <w:t>pbuh</w:t>
      </w:r>
      <w:proofErr w:type="spellEnd"/>
      <w:r w:rsidRPr="001270F1">
        <w:rPr>
          <w:rFonts w:ascii="Calibri" w:hAnsi="Calibri" w:cs="Calibri"/>
          <w:color w:val="000000" w:themeColor="text1"/>
        </w:rPr>
        <w:t xml:space="preserve">) said: </w:t>
      </w:r>
      <w:r w:rsidRPr="001270F1">
        <w:rPr>
          <w:rFonts w:ascii="Calibri" w:hAnsi="Calibri" w:cs="Calibri"/>
          <w:i/>
          <w:iCs/>
          <w:color w:val="000000" w:themeColor="text1"/>
        </w:rPr>
        <w:t>"He who relieves from a believer one of the hardships of this worldly life, Allah will relieve him of one of the hardships of the Day of Resurrection"</w:t>
      </w:r>
      <w:r w:rsidRPr="001270F1">
        <w:rPr>
          <w:rStyle w:val="FootnoteReference"/>
          <w:rFonts w:ascii="Calibri" w:hAnsi="Calibri" w:cs="Calibri"/>
          <w:i/>
          <w:iCs/>
          <w:color w:val="000000" w:themeColor="text1"/>
        </w:rPr>
        <w:footnoteReference w:id="3"/>
      </w:r>
      <w:r w:rsidRPr="001270F1">
        <w:rPr>
          <w:rFonts w:ascii="Calibri" w:hAnsi="Calibri" w:cs="Calibri"/>
          <w:i/>
          <w:iCs/>
          <w:color w:val="000000" w:themeColor="text1"/>
        </w:rPr>
        <w:t xml:space="preserve">. </w:t>
      </w:r>
      <w:r w:rsidRPr="001270F1">
        <w:rPr>
          <w:rFonts w:ascii="Calibri" w:hAnsi="Calibri" w:cs="Calibri"/>
          <w:color w:val="000000" w:themeColor="text1"/>
        </w:rPr>
        <w:t>Since then, the ‘Refugee Zakat Fund’ has managed to collect USD 14.4 million and assisted 34,440 individuals (UNHCR, 2019).  This has provided the avenue for Muslims worldwide to make a positive impact on global problems through its zakat obligations</w:t>
      </w:r>
      <w:r w:rsidR="00970DA0" w:rsidRPr="001270F1">
        <w:rPr>
          <w:rFonts w:ascii="Calibri" w:hAnsi="Calibri" w:cs="Calibri"/>
          <w:color w:val="000000" w:themeColor="text1"/>
        </w:rPr>
        <w:t xml:space="preserve"> and further enhanced the notion of global citizenship, stressing the significance that individuals play in the betterment of society today. </w:t>
      </w:r>
    </w:p>
    <w:p w14:paraId="01471BDE" w14:textId="71000D47" w:rsidR="0033114B" w:rsidRPr="001270F1" w:rsidRDefault="00570259" w:rsidP="00665090">
      <w:pPr>
        <w:snapToGrid w:val="0"/>
        <w:spacing w:before="120" w:after="120"/>
        <w:ind w:firstLine="720"/>
        <w:jc w:val="both"/>
        <w:rPr>
          <w:rFonts w:ascii="Calibri" w:hAnsi="Calibri" w:cs="Calibri"/>
          <w:color w:val="000000" w:themeColor="text1"/>
        </w:rPr>
      </w:pPr>
      <w:r w:rsidRPr="001270F1">
        <w:rPr>
          <w:rFonts w:ascii="Calibri" w:hAnsi="Calibri" w:cs="Calibri"/>
          <w:color w:val="000000" w:themeColor="text1"/>
        </w:rPr>
        <w:t xml:space="preserve">Likewise, the </w:t>
      </w:r>
      <w:proofErr w:type="spellStart"/>
      <w:r w:rsidRPr="001270F1">
        <w:rPr>
          <w:rFonts w:ascii="Calibri" w:hAnsi="Calibri" w:cs="Calibri"/>
          <w:color w:val="000000" w:themeColor="text1"/>
        </w:rPr>
        <w:t>LaunchGood</w:t>
      </w:r>
      <w:proofErr w:type="spellEnd"/>
      <w:r w:rsidRPr="001270F1">
        <w:rPr>
          <w:rFonts w:ascii="Calibri" w:hAnsi="Calibri" w:cs="Calibri"/>
          <w:color w:val="000000" w:themeColor="text1"/>
        </w:rPr>
        <w:t xml:space="preserve"> digital crowdfunding platform is another example that accentuates ISF's various civic engagement. For instance, there are almost 200 campaigns launched to assist communities that are impacted by Covid-19, and approximately USD 60 million has been collected since the beginning of 2020.</w:t>
      </w:r>
      <w:r w:rsidRPr="001270F1">
        <w:rPr>
          <w:rStyle w:val="FootnoteReference"/>
          <w:rFonts w:ascii="Calibri" w:hAnsi="Calibri" w:cs="Calibri"/>
          <w:color w:val="000000" w:themeColor="text1"/>
        </w:rPr>
        <w:footnoteReference w:id="4"/>
      </w:r>
      <w:r w:rsidRPr="001270F1">
        <w:rPr>
          <w:rFonts w:ascii="Calibri" w:hAnsi="Calibri" w:cs="Calibri"/>
          <w:color w:val="000000" w:themeColor="text1"/>
        </w:rPr>
        <w:t xml:space="preserve"> It has also launched a campaign for a wide range of causes, such as causes that are related to the Palestinian, Yemenis, Black lives, women empowerment, etc. To date, </w:t>
      </w:r>
      <w:proofErr w:type="spellStart"/>
      <w:r w:rsidRPr="001270F1">
        <w:rPr>
          <w:rFonts w:ascii="Calibri" w:hAnsi="Calibri" w:cs="Calibri"/>
          <w:color w:val="000000" w:themeColor="text1"/>
        </w:rPr>
        <w:t>LaunchGood</w:t>
      </w:r>
      <w:proofErr w:type="spellEnd"/>
      <w:r w:rsidRPr="001270F1">
        <w:rPr>
          <w:rFonts w:ascii="Calibri" w:hAnsi="Calibri" w:cs="Calibri"/>
          <w:color w:val="000000" w:themeColor="text1"/>
        </w:rPr>
        <w:t xml:space="preserve"> has successfully supported 17,000 campaigns and collected almost USD 150 million worth of </w:t>
      </w:r>
      <w:proofErr w:type="spellStart"/>
      <w:r w:rsidRPr="001270F1">
        <w:rPr>
          <w:rFonts w:ascii="Calibri" w:hAnsi="Calibri" w:cs="Calibri"/>
          <w:color w:val="000000" w:themeColor="text1"/>
        </w:rPr>
        <w:t>sadaqah</w:t>
      </w:r>
      <w:proofErr w:type="spellEnd"/>
      <w:r w:rsidRPr="001270F1">
        <w:rPr>
          <w:rFonts w:ascii="Calibri" w:hAnsi="Calibri" w:cs="Calibri"/>
          <w:color w:val="000000" w:themeColor="text1"/>
        </w:rPr>
        <w:t xml:space="preserve">, waqf, and zakat across </w:t>
      </w:r>
      <w:r w:rsidRPr="001270F1">
        <w:rPr>
          <w:rFonts w:ascii="Calibri" w:hAnsi="Calibri" w:cs="Calibri"/>
          <w:color w:val="000000" w:themeColor="text1"/>
        </w:rPr>
        <w:lastRenderedPageBreak/>
        <w:t>143 countries since its inception in 2013</w:t>
      </w:r>
      <w:r w:rsidRPr="001270F1">
        <w:rPr>
          <w:rFonts w:ascii="Calibri" w:hAnsi="Calibri" w:cs="Calibri"/>
          <w:i/>
          <w:iCs/>
          <w:color w:val="000000" w:themeColor="text1"/>
        </w:rPr>
        <w:t>.</w:t>
      </w:r>
      <w:r w:rsidRPr="001270F1">
        <w:rPr>
          <w:rStyle w:val="FootnoteReference"/>
          <w:rFonts w:ascii="Calibri" w:hAnsi="Calibri" w:cs="Calibri"/>
          <w:i/>
          <w:iCs/>
          <w:color w:val="000000" w:themeColor="text1"/>
        </w:rPr>
        <w:footnoteReference w:id="5"/>
      </w:r>
      <w:r w:rsidR="00525C5F" w:rsidRPr="001270F1">
        <w:rPr>
          <w:rFonts w:ascii="Calibri" w:hAnsi="Calibri" w:cs="Calibri"/>
          <w:i/>
          <w:iCs/>
          <w:color w:val="000000" w:themeColor="text1"/>
        </w:rPr>
        <w:t xml:space="preserve"> </w:t>
      </w:r>
      <w:r w:rsidR="003455F1" w:rsidRPr="001270F1">
        <w:rPr>
          <w:rFonts w:ascii="Calibri" w:hAnsi="Calibri" w:cs="Calibri"/>
          <w:color w:val="000000" w:themeColor="text1"/>
        </w:rPr>
        <w:t xml:space="preserve">These donation drives prove to be monumental to small communities, especially in the Muslim world who are in dire need of assistance. </w:t>
      </w:r>
    </w:p>
    <w:p w14:paraId="2A36C445" w14:textId="565D7C18" w:rsidR="00570259" w:rsidRPr="001270F1" w:rsidRDefault="00570259" w:rsidP="00665090">
      <w:pPr>
        <w:snapToGrid w:val="0"/>
        <w:spacing w:before="120" w:after="120"/>
        <w:ind w:firstLine="720"/>
        <w:jc w:val="both"/>
        <w:rPr>
          <w:rFonts w:ascii="Calibri" w:hAnsi="Calibri" w:cs="Calibri"/>
          <w:color w:val="000000" w:themeColor="text1"/>
        </w:rPr>
      </w:pPr>
      <w:r w:rsidRPr="001270F1">
        <w:rPr>
          <w:rFonts w:ascii="Calibri" w:hAnsi="Calibri" w:cs="Calibri"/>
          <w:color w:val="000000" w:themeColor="text1"/>
        </w:rPr>
        <w:t>Besides these two modern examples, ISF has been influential in promoting human development throughout history. Case in point, it is recorded that poverty was fully alleviated during the ruling time of Umar Abdul Aziz (717-720 AD) to the point that the Muslim government could not find anyone entitled to zakat donations. During his time, waqf funds were utilized to establish the first-ever general hospital recorded history, which was located in Baghdad (W. Tschanz, 2017). Nowadays, the reminisce of ISF in the form of waqf properties still prevails around the world and has organically intertwined in most Muslim cultures.</w:t>
      </w:r>
    </w:p>
    <w:p w14:paraId="12145420" w14:textId="3672E836" w:rsidR="00570259" w:rsidRPr="001270F1" w:rsidRDefault="00570259" w:rsidP="00665090">
      <w:pPr>
        <w:snapToGrid w:val="0"/>
        <w:spacing w:before="120" w:after="120"/>
        <w:jc w:val="both"/>
        <w:rPr>
          <w:rFonts w:ascii="Calibri" w:hAnsi="Calibri" w:cs="Calibri"/>
          <w:color w:val="000000" w:themeColor="text1"/>
        </w:rPr>
      </w:pPr>
    </w:p>
    <w:p w14:paraId="30EC06EC" w14:textId="77777777" w:rsidR="00570259" w:rsidRPr="001270F1" w:rsidRDefault="00570259" w:rsidP="00665090">
      <w:pPr>
        <w:snapToGrid w:val="0"/>
        <w:spacing w:before="120" w:after="120"/>
        <w:jc w:val="both"/>
        <w:rPr>
          <w:rFonts w:ascii="Calibri" w:hAnsi="Calibri" w:cs="Calibri"/>
          <w:b/>
          <w:bCs/>
          <w:color w:val="000000" w:themeColor="text1"/>
          <w:sz w:val="26"/>
          <w:szCs w:val="26"/>
        </w:rPr>
      </w:pPr>
      <w:r w:rsidRPr="001270F1">
        <w:rPr>
          <w:rFonts w:ascii="Calibri" w:hAnsi="Calibri" w:cs="Calibri"/>
          <w:b/>
          <w:bCs/>
          <w:color w:val="000000" w:themeColor="text1"/>
          <w:sz w:val="26"/>
          <w:szCs w:val="26"/>
        </w:rPr>
        <w:t xml:space="preserve">UN SDGs Education Framework – </w:t>
      </w:r>
      <w:proofErr w:type="spellStart"/>
      <w:r w:rsidRPr="001270F1">
        <w:rPr>
          <w:rFonts w:ascii="Calibri" w:hAnsi="Calibri" w:cs="Calibri"/>
          <w:b/>
          <w:bCs/>
          <w:color w:val="000000" w:themeColor="text1"/>
          <w:sz w:val="26"/>
          <w:szCs w:val="26"/>
        </w:rPr>
        <w:t>Maqasid</w:t>
      </w:r>
      <w:proofErr w:type="spellEnd"/>
      <w:r w:rsidRPr="001270F1">
        <w:rPr>
          <w:rFonts w:ascii="Calibri" w:hAnsi="Calibri" w:cs="Calibri"/>
          <w:b/>
          <w:bCs/>
          <w:color w:val="000000" w:themeColor="text1"/>
          <w:sz w:val="26"/>
          <w:szCs w:val="26"/>
        </w:rPr>
        <w:t xml:space="preserve"> al-Shariah Approach</w:t>
      </w:r>
    </w:p>
    <w:p w14:paraId="69D26785" w14:textId="77777777" w:rsidR="00570259" w:rsidRPr="001270F1" w:rsidRDefault="00570259" w:rsidP="00665090">
      <w:pPr>
        <w:snapToGrid w:val="0"/>
        <w:spacing w:before="120" w:after="120"/>
        <w:jc w:val="both"/>
        <w:rPr>
          <w:rFonts w:ascii="Calibri" w:hAnsi="Calibri" w:cs="Calibri"/>
          <w:color w:val="000000" w:themeColor="text1"/>
        </w:rPr>
      </w:pPr>
      <w:r w:rsidRPr="001270F1">
        <w:rPr>
          <w:rFonts w:ascii="Calibri" w:hAnsi="Calibri" w:cs="Calibri"/>
          <w:color w:val="000000" w:themeColor="text1"/>
        </w:rPr>
        <w:t xml:space="preserve">The </w:t>
      </w:r>
      <w:proofErr w:type="spellStart"/>
      <w:r w:rsidRPr="001270F1">
        <w:rPr>
          <w:rFonts w:ascii="Calibri" w:hAnsi="Calibri" w:cs="Calibri"/>
          <w:i/>
          <w:iCs/>
          <w:color w:val="000000" w:themeColor="text1"/>
        </w:rPr>
        <w:t>Maqasid</w:t>
      </w:r>
      <w:proofErr w:type="spellEnd"/>
      <w:r w:rsidRPr="001270F1">
        <w:rPr>
          <w:rFonts w:ascii="Calibri" w:hAnsi="Calibri" w:cs="Calibri"/>
          <w:i/>
          <w:iCs/>
          <w:color w:val="000000" w:themeColor="text1"/>
        </w:rPr>
        <w:t xml:space="preserve"> al-Shariah</w:t>
      </w:r>
      <w:r w:rsidRPr="001270F1">
        <w:rPr>
          <w:rFonts w:ascii="Calibri" w:hAnsi="Calibri" w:cs="Calibri"/>
          <w:color w:val="000000" w:themeColor="text1"/>
        </w:rPr>
        <w:t>-based</w:t>
      </w:r>
      <w:r w:rsidRPr="001270F1">
        <w:rPr>
          <w:rStyle w:val="FootnoteReference"/>
          <w:rFonts w:ascii="Calibri" w:hAnsi="Calibri" w:cs="Calibri"/>
          <w:b/>
          <w:bCs/>
          <w:color w:val="000000" w:themeColor="text1"/>
        </w:rPr>
        <w:footnoteReference w:id="6"/>
      </w:r>
      <w:r w:rsidRPr="001270F1">
        <w:rPr>
          <w:rFonts w:ascii="Calibri" w:hAnsi="Calibri" w:cs="Calibri"/>
          <w:color w:val="000000" w:themeColor="text1"/>
        </w:rPr>
        <w:t xml:space="preserve"> SDGED Framework is a conceptual attempt to bridge SDGs Education with Islamic values. It endeavors to comprehend the religious drivers of ISF civic engagement, which is instrumental for potential trajectories of localized SDGED. The </w:t>
      </w:r>
      <w:proofErr w:type="spellStart"/>
      <w:r w:rsidRPr="001270F1">
        <w:rPr>
          <w:rFonts w:ascii="Calibri" w:hAnsi="Calibri" w:cs="Calibri"/>
          <w:i/>
          <w:iCs/>
          <w:color w:val="000000" w:themeColor="text1"/>
        </w:rPr>
        <w:t>Maqasid</w:t>
      </w:r>
      <w:proofErr w:type="spellEnd"/>
      <w:r w:rsidRPr="001270F1">
        <w:rPr>
          <w:rFonts w:ascii="Calibri" w:hAnsi="Calibri" w:cs="Calibri"/>
          <w:i/>
          <w:iCs/>
          <w:color w:val="000000" w:themeColor="text1"/>
        </w:rPr>
        <w:t xml:space="preserve"> al-Shariah</w:t>
      </w:r>
      <w:r w:rsidRPr="001270F1">
        <w:rPr>
          <w:rFonts w:ascii="Calibri" w:hAnsi="Calibri" w:cs="Calibri"/>
          <w:color w:val="000000" w:themeColor="text1"/>
        </w:rPr>
        <w:t>-based SDGED Framework applied both inductive (</w:t>
      </w:r>
      <w:proofErr w:type="spellStart"/>
      <w:r w:rsidRPr="001270F1">
        <w:rPr>
          <w:rFonts w:ascii="Calibri" w:hAnsi="Calibri" w:cs="Calibri"/>
          <w:i/>
          <w:iCs/>
          <w:color w:val="000000" w:themeColor="text1"/>
        </w:rPr>
        <w:t>istiqra</w:t>
      </w:r>
      <w:proofErr w:type="spellEnd"/>
      <w:r w:rsidRPr="001270F1">
        <w:rPr>
          <w:rFonts w:ascii="Calibri" w:hAnsi="Calibri" w:cs="Calibri"/>
          <w:i/>
          <w:iCs/>
          <w:color w:val="000000" w:themeColor="text1"/>
        </w:rPr>
        <w:t>’</w:t>
      </w:r>
      <w:r w:rsidRPr="001270F1">
        <w:rPr>
          <w:rFonts w:ascii="Calibri" w:hAnsi="Calibri" w:cs="Calibri"/>
          <w:color w:val="000000" w:themeColor="text1"/>
        </w:rPr>
        <w:t>) and deductive (</w:t>
      </w:r>
      <w:r w:rsidRPr="001270F1">
        <w:rPr>
          <w:rFonts w:ascii="Calibri" w:hAnsi="Calibri" w:cs="Calibri"/>
          <w:i/>
          <w:iCs/>
          <w:color w:val="000000" w:themeColor="text1"/>
        </w:rPr>
        <w:t>qiyas</w:t>
      </w:r>
      <w:r w:rsidRPr="001270F1">
        <w:rPr>
          <w:rFonts w:ascii="Calibri" w:hAnsi="Calibri" w:cs="Calibri"/>
          <w:color w:val="000000" w:themeColor="text1"/>
        </w:rPr>
        <w:t xml:space="preserve">) methods to analyze ISF’s Quranic verses and prophetic traditions and develop the relationship between Muslim theological and ontological drivers, </w:t>
      </w:r>
      <w:proofErr w:type="spellStart"/>
      <w:r w:rsidRPr="001270F1">
        <w:rPr>
          <w:rFonts w:ascii="Calibri" w:hAnsi="Calibri" w:cs="Calibri"/>
          <w:color w:val="000000" w:themeColor="text1"/>
        </w:rPr>
        <w:t>Maqasid</w:t>
      </w:r>
      <w:proofErr w:type="spellEnd"/>
      <w:r w:rsidRPr="001270F1">
        <w:rPr>
          <w:rFonts w:ascii="Calibri" w:hAnsi="Calibri" w:cs="Calibri"/>
          <w:color w:val="000000" w:themeColor="text1"/>
        </w:rPr>
        <w:t xml:space="preserve"> al-Shariah (objectives of shariah) drivers</w:t>
      </w:r>
      <w:r w:rsidRPr="001270F1">
        <w:rPr>
          <w:rStyle w:val="FootnoteReference"/>
          <w:rFonts w:ascii="Calibri" w:hAnsi="Calibri" w:cs="Calibri"/>
          <w:color w:val="000000" w:themeColor="text1"/>
        </w:rPr>
        <w:footnoteReference w:id="7"/>
      </w:r>
      <w:r w:rsidRPr="001270F1">
        <w:rPr>
          <w:rFonts w:ascii="Calibri" w:hAnsi="Calibri" w:cs="Calibri"/>
          <w:color w:val="000000" w:themeColor="text1"/>
        </w:rPr>
        <w:t xml:space="preserve">, UN SDGs, and the GCE (Global Citizenship Education). </w:t>
      </w:r>
    </w:p>
    <w:p w14:paraId="47DA46B6" w14:textId="77777777" w:rsidR="00570259" w:rsidRPr="001270F1" w:rsidRDefault="00570259" w:rsidP="00665090">
      <w:pPr>
        <w:snapToGrid w:val="0"/>
        <w:spacing w:before="120" w:after="120"/>
        <w:jc w:val="both"/>
        <w:rPr>
          <w:rFonts w:ascii="Calibri" w:hAnsi="Calibri" w:cs="Calibri"/>
          <w:color w:val="000000" w:themeColor="text1"/>
        </w:rPr>
      </w:pPr>
      <w:r w:rsidRPr="001270F1">
        <w:rPr>
          <w:rFonts w:ascii="Calibri" w:hAnsi="Calibri" w:cs="Calibri"/>
          <w:color w:val="000000" w:themeColor="text1"/>
        </w:rPr>
        <w:lastRenderedPageBreak/>
        <w:tab/>
        <w:t>As illustrated in table 2, the absolute driver for ISF practices is built upon promoting and safeguarding the overall development of human well-being under Islamic teachings and the measurement of Taqwa (God Consciousness). Across the 5 ISF instruments theological and ontological drivers that we discussed in table 1, we observe that all those 5 ISF instruments are promoting and safeguarding 5 core shariah principles. These core principles can then be translated into 5 main Global Citizenship Metrics, namely:</w:t>
      </w:r>
    </w:p>
    <w:p w14:paraId="1BD79574" w14:textId="77777777" w:rsidR="00570259" w:rsidRPr="001270F1" w:rsidRDefault="00570259" w:rsidP="00665090">
      <w:pPr>
        <w:numPr>
          <w:ilvl w:val="0"/>
          <w:numId w:val="14"/>
        </w:numPr>
        <w:snapToGrid w:val="0"/>
        <w:spacing w:before="120" w:after="120"/>
        <w:jc w:val="both"/>
        <w:rPr>
          <w:rFonts w:ascii="Calibri" w:hAnsi="Calibri" w:cs="Calibri"/>
          <w:color w:val="000000" w:themeColor="text1"/>
        </w:rPr>
      </w:pPr>
      <w:r w:rsidRPr="001270F1">
        <w:rPr>
          <w:rFonts w:ascii="Calibri" w:hAnsi="Calibri" w:cs="Calibri"/>
          <w:color w:val="000000" w:themeColor="text1"/>
        </w:rPr>
        <w:t>Moral dimension denotes responsibility and stewardship drivers.</w:t>
      </w:r>
    </w:p>
    <w:p w14:paraId="388D34BE" w14:textId="77777777" w:rsidR="00570259" w:rsidRPr="001270F1" w:rsidRDefault="00570259" w:rsidP="00665090">
      <w:pPr>
        <w:numPr>
          <w:ilvl w:val="0"/>
          <w:numId w:val="14"/>
        </w:numPr>
        <w:snapToGrid w:val="0"/>
        <w:spacing w:before="120" w:after="120"/>
        <w:jc w:val="both"/>
        <w:rPr>
          <w:rFonts w:ascii="Calibri" w:hAnsi="Calibri" w:cs="Calibri"/>
          <w:color w:val="000000" w:themeColor="text1"/>
        </w:rPr>
      </w:pPr>
      <w:r w:rsidRPr="001270F1">
        <w:rPr>
          <w:rFonts w:ascii="Calibri" w:hAnsi="Calibri" w:cs="Calibri"/>
          <w:color w:val="000000" w:themeColor="text1"/>
        </w:rPr>
        <w:t>Philanthropic dimension denotes future generation drivers.</w:t>
      </w:r>
    </w:p>
    <w:p w14:paraId="1C2D404E" w14:textId="77777777" w:rsidR="00570259" w:rsidRPr="001270F1" w:rsidRDefault="00570259" w:rsidP="00665090">
      <w:pPr>
        <w:numPr>
          <w:ilvl w:val="0"/>
          <w:numId w:val="14"/>
        </w:numPr>
        <w:snapToGrid w:val="0"/>
        <w:spacing w:before="120" w:after="120"/>
        <w:jc w:val="both"/>
        <w:rPr>
          <w:rFonts w:ascii="Calibri" w:hAnsi="Calibri" w:cs="Calibri"/>
          <w:color w:val="000000" w:themeColor="text1"/>
        </w:rPr>
      </w:pPr>
      <w:r w:rsidRPr="001270F1">
        <w:rPr>
          <w:rFonts w:ascii="Calibri" w:hAnsi="Calibri" w:cs="Calibri"/>
          <w:color w:val="000000" w:themeColor="text1"/>
        </w:rPr>
        <w:t>Ethos of economy dimension denotes financial drivers</w:t>
      </w:r>
    </w:p>
    <w:p w14:paraId="0F08BDAA" w14:textId="77777777" w:rsidR="00570259" w:rsidRPr="001270F1" w:rsidRDefault="00570259" w:rsidP="00665090">
      <w:pPr>
        <w:numPr>
          <w:ilvl w:val="0"/>
          <w:numId w:val="14"/>
        </w:numPr>
        <w:snapToGrid w:val="0"/>
        <w:spacing w:before="120" w:after="120"/>
        <w:jc w:val="both"/>
        <w:rPr>
          <w:rFonts w:ascii="Calibri" w:hAnsi="Calibri" w:cs="Calibri"/>
          <w:color w:val="000000" w:themeColor="text1"/>
        </w:rPr>
      </w:pPr>
      <w:r w:rsidRPr="001270F1">
        <w:rPr>
          <w:rFonts w:ascii="Calibri" w:hAnsi="Calibri" w:cs="Calibri"/>
          <w:color w:val="000000" w:themeColor="text1"/>
        </w:rPr>
        <w:t>Human rights dimension denotes social and relationship drivers</w:t>
      </w:r>
    </w:p>
    <w:p w14:paraId="5D60E79E" w14:textId="77777777" w:rsidR="00570259" w:rsidRPr="001270F1" w:rsidRDefault="00570259" w:rsidP="00665090">
      <w:pPr>
        <w:numPr>
          <w:ilvl w:val="0"/>
          <w:numId w:val="14"/>
        </w:numPr>
        <w:snapToGrid w:val="0"/>
        <w:spacing w:before="120" w:after="120"/>
        <w:jc w:val="both"/>
        <w:rPr>
          <w:rFonts w:ascii="Calibri" w:hAnsi="Calibri" w:cs="Calibri"/>
          <w:color w:val="000000" w:themeColor="text1"/>
        </w:rPr>
      </w:pPr>
      <w:r w:rsidRPr="001270F1">
        <w:rPr>
          <w:rFonts w:ascii="Calibri" w:hAnsi="Calibri" w:cs="Calibri"/>
          <w:color w:val="000000" w:themeColor="text1"/>
        </w:rPr>
        <w:t>Human capital dimension denotes intellectual drivers</w:t>
      </w:r>
    </w:p>
    <w:p w14:paraId="69A26F77" w14:textId="77777777" w:rsidR="00570259" w:rsidRPr="001270F1" w:rsidRDefault="00570259" w:rsidP="00665090">
      <w:pPr>
        <w:snapToGrid w:val="0"/>
        <w:spacing w:before="120" w:after="120"/>
        <w:ind w:firstLine="720"/>
        <w:jc w:val="both"/>
        <w:rPr>
          <w:rFonts w:ascii="Calibri" w:hAnsi="Calibri" w:cs="Calibri"/>
          <w:color w:val="000000" w:themeColor="text1"/>
        </w:rPr>
      </w:pPr>
      <w:r w:rsidRPr="001270F1">
        <w:rPr>
          <w:rFonts w:ascii="Calibri" w:hAnsi="Calibri" w:cs="Calibri"/>
          <w:color w:val="000000" w:themeColor="text1"/>
        </w:rPr>
        <w:t>Respectively, due to the seminal interaction between the theological and ontological drivers and core shariah principles, ISF is manifested in various instruments and charitable projects and programs (see the example on table 2). This, in turn, allows it to establish a firm footing in SDG agendas and global citizenship competencies. For instance, the green-colored table shows that the areas of Global Citizenship Competencies:</w:t>
      </w:r>
    </w:p>
    <w:p w14:paraId="179B049F" w14:textId="77777777" w:rsidR="00570259" w:rsidRPr="001270F1" w:rsidRDefault="00570259" w:rsidP="00665090">
      <w:pPr>
        <w:numPr>
          <w:ilvl w:val="0"/>
          <w:numId w:val="15"/>
        </w:numPr>
        <w:snapToGrid w:val="0"/>
        <w:spacing w:before="120" w:after="120"/>
        <w:jc w:val="both"/>
        <w:rPr>
          <w:rFonts w:ascii="Calibri" w:hAnsi="Calibri" w:cs="Calibri"/>
          <w:color w:val="000000" w:themeColor="text1"/>
        </w:rPr>
      </w:pPr>
      <w:r w:rsidRPr="001270F1">
        <w:rPr>
          <w:rFonts w:ascii="Calibri" w:hAnsi="Calibri" w:cs="Calibri"/>
          <w:color w:val="000000" w:themeColor="text1"/>
        </w:rPr>
        <w:t>the awareness of the global issue,</w:t>
      </w:r>
    </w:p>
    <w:p w14:paraId="310CF9D1" w14:textId="77777777" w:rsidR="00570259" w:rsidRPr="001270F1" w:rsidRDefault="00570259" w:rsidP="00665090">
      <w:pPr>
        <w:numPr>
          <w:ilvl w:val="0"/>
          <w:numId w:val="15"/>
        </w:numPr>
        <w:snapToGrid w:val="0"/>
        <w:spacing w:before="120" w:after="120"/>
        <w:jc w:val="both"/>
        <w:rPr>
          <w:rFonts w:ascii="Calibri" w:hAnsi="Calibri" w:cs="Calibri"/>
          <w:color w:val="000000" w:themeColor="text1"/>
        </w:rPr>
      </w:pPr>
      <w:r w:rsidRPr="001270F1">
        <w:rPr>
          <w:rFonts w:ascii="Calibri" w:hAnsi="Calibri" w:cs="Calibri"/>
          <w:color w:val="000000" w:themeColor="text1"/>
        </w:rPr>
        <w:t>respect for the values of equality, tolerance, human rights, peace, inclusion, and justice,</w:t>
      </w:r>
    </w:p>
    <w:p w14:paraId="59D8874A" w14:textId="77777777" w:rsidR="00570259" w:rsidRPr="001270F1" w:rsidRDefault="00570259" w:rsidP="00665090">
      <w:pPr>
        <w:numPr>
          <w:ilvl w:val="0"/>
          <w:numId w:val="15"/>
        </w:numPr>
        <w:snapToGrid w:val="0"/>
        <w:spacing w:before="120" w:after="120"/>
        <w:jc w:val="both"/>
        <w:rPr>
          <w:rFonts w:ascii="Calibri" w:hAnsi="Calibri" w:cs="Calibri"/>
          <w:color w:val="000000" w:themeColor="text1"/>
        </w:rPr>
      </w:pPr>
      <w:r w:rsidRPr="001270F1">
        <w:rPr>
          <w:rFonts w:ascii="Calibri" w:hAnsi="Calibri" w:cs="Calibri"/>
          <w:color w:val="000000" w:themeColor="text1"/>
        </w:rPr>
        <w:t>and capacity to get engaged and take actions</w:t>
      </w:r>
    </w:p>
    <w:p w14:paraId="46F3B82E" w14:textId="41FBFCDB" w:rsidR="003F1163" w:rsidRPr="001270F1" w:rsidRDefault="00570259" w:rsidP="00665090">
      <w:pPr>
        <w:snapToGrid w:val="0"/>
        <w:spacing w:before="120" w:after="120"/>
        <w:jc w:val="both"/>
        <w:rPr>
          <w:rFonts w:ascii="Calibri" w:hAnsi="Calibri" w:cs="Calibri"/>
          <w:color w:val="000000" w:themeColor="text1"/>
        </w:rPr>
      </w:pPr>
      <w:r w:rsidRPr="001270F1">
        <w:rPr>
          <w:rFonts w:ascii="Calibri" w:hAnsi="Calibri" w:cs="Calibri"/>
          <w:color w:val="000000" w:themeColor="text1"/>
        </w:rPr>
        <w:t>are organically rooted in Islam. Quran (3:104) enjoins its followers to urge and uphold what is morally right and prevent and avoid what is morally wrong.  The Islamic Relief, Climate Champions program, is an excellent example of Global Citizenship on the ongoing global fight against climate change. Similarly, the blue-colored table evokes the Global</w:t>
      </w:r>
      <w:r w:rsidRPr="001270F1">
        <w:rPr>
          <w:rFonts w:ascii="Calibri" w:hAnsi="Calibri" w:cs="Calibri"/>
          <w:color w:val="000000" w:themeColor="text1"/>
        </w:rPr>
        <w:br/>
        <w:t>Citizenship Competencies of interconnectedness between people and communities</w:t>
      </w:r>
      <w:r w:rsidR="003455F1" w:rsidRPr="001270F1">
        <w:rPr>
          <w:rFonts w:ascii="Calibri" w:hAnsi="Calibri" w:cs="Calibri"/>
          <w:color w:val="000000" w:themeColor="text1"/>
        </w:rPr>
        <w:t>.</w:t>
      </w:r>
    </w:p>
    <w:p w14:paraId="2052D7F1" w14:textId="148BADD0" w:rsidR="001A3AA9" w:rsidRPr="001270F1" w:rsidRDefault="001A3AA9" w:rsidP="00665090">
      <w:pPr>
        <w:snapToGrid w:val="0"/>
        <w:spacing w:before="120" w:after="120"/>
        <w:ind w:firstLine="720"/>
        <w:jc w:val="both"/>
        <w:rPr>
          <w:rFonts w:ascii="Calibri" w:hAnsi="Calibri" w:cs="Calibri"/>
          <w:color w:val="000000" w:themeColor="text1"/>
        </w:rPr>
        <w:sectPr w:rsidR="001A3AA9" w:rsidRPr="001270F1" w:rsidSect="00342376">
          <w:pgSz w:w="11900" w:h="16840"/>
          <w:pgMar w:top="1440" w:right="1440" w:bottom="1440" w:left="1440" w:header="708" w:footer="708" w:gutter="0"/>
          <w:cols w:space="708"/>
          <w:docGrid w:linePitch="360"/>
        </w:sectPr>
      </w:pPr>
    </w:p>
    <w:tbl>
      <w:tblPr>
        <w:tblStyle w:val="PlainTable3"/>
        <w:tblW w:w="15601" w:type="dxa"/>
        <w:tblLook w:val="04A0" w:firstRow="1" w:lastRow="0" w:firstColumn="1" w:lastColumn="0" w:noHBand="0" w:noVBand="1"/>
      </w:tblPr>
      <w:tblGrid>
        <w:gridCol w:w="2263"/>
        <w:gridCol w:w="2835"/>
        <w:gridCol w:w="2694"/>
        <w:gridCol w:w="2693"/>
        <w:gridCol w:w="6"/>
        <w:gridCol w:w="2546"/>
        <w:gridCol w:w="6"/>
        <w:gridCol w:w="2546"/>
        <w:gridCol w:w="6"/>
        <w:gridCol w:w="6"/>
      </w:tblGrid>
      <w:tr w:rsidR="001270F1" w:rsidRPr="001270F1" w14:paraId="2FC06142" w14:textId="77777777" w:rsidTr="00342376">
        <w:trPr>
          <w:cnfStyle w:val="100000000000" w:firstRow="1" w:lastRow="0" w:firstColumn="0" w:lastColumn="0" w:oddVBand="0" w:evenVBand="0" w:oddHBand="0" w:evenHBand="0" w:firstRowFirstColumn="0" w:firstRowLastColumn="0" w:lastRowFirstColumn="0" w:lastRowLastColumn="0"/>
          <w:trHeight w:val="409"/>
        </w:trPr>
        <w:tc>
          <w:tcPr>
            <w:cnfStyle w:val="001000000100" w:firstRow="0" w:lastRow="0" w:firstColumn="1" w:lastColumn="0" w:oddVBand="0" w:evenVBand="0" w:oddHBand="0" w:evenHBand="0" w:firstRowFirstColumn="1" w:firstRowLastColumn="0" w:lastRowFirstColumn="0" w:lastRowLastColumn="0"/>
            <w:tcW w:w="15601" w:type="dxa"/>
            <w:gridSpan w:val="10"/>
            <w:tcBorders>
              <w:top w:val="single" w:sz="4" w:space="0" w:color="auto"/>
              <w:left w:val="single" w:sz="4" w:space="0" w:color="auto"/>
              <w:right w:val="single" w:sz="4" w:space="0" w:color="auto"/>
            </w:tcBorders>
            <w:vAlign w:val="center"/>
          </w:tcPr>
          <w:p w14:paraId="2532FA7D" w14:textId="77777777" w:rsidR="00570259" w:rsidRPr="001270F1" w:rsidRDefault="00570259" w:rsidP="002A73E0">
            <w:pPr>
              <w:snapToGrid w:val="0"/>
              <w:spacing w:line="276" w:lineRule="auto"/>
              <w:jc w:val="center"/>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lastRenderedPageBreak/>
              <w:t>Table 2: ISF SDG Education Framework</w:t>
            </w:r>
          </w:p>
        </w:tc>
      </w:tr>
      <w:tr w:rsidR="001270F1" w:rsidRPr="001270F1" w14:paraId="27802FA2" w14:textId="77777777" w:rsidTr="00342376">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themeFill="accent4" w:themeFillTint="33"/>
            <w:vAlign w:val="center"/>
          </w:tcPr>
          <w:p w14:paraId="025FDE46" w14:textId="77777777" w:rsidR="00570259" w:rsidRPr="001270F1" w:rsidRDefault="00570259" w:rsidP="002A73E0">
            <w:pPr>
              <w:snapToGrid w:val="0"/>
              <w:spacing w:line="276" w:lineRule="auto"/>
              <w:jc w:val="center"/>
              <w:rPr>
                <w:rFonts w:ascii="Calibri" w:hAnsi="Calibri" w:cs="Calibri"/>
                <w:caps w:val="0"/>
                <w:color w:val="000000" w:themeColor="text1"/>
                <w:sz w:val="18"/>
                <w:szCs w:val="18"/>
                <w:lang w:val="en-US"/>
              </w:rPr>
            </w:pPr>
            <w:r w:rsidRPr="001270F1">
              <w:rPr>
                <w:rFonts w:ascii="Calibri" w:hAnsi="Calibri" w:cs="Calibri"/>
                <w:caps w:val="0"/>
                <w:color w:val="000000" w:themeColor="text1"/>
                <w:sz w:val="18"/>
                <w:szCs w:val="18"/>
                <w:lang w:val="en-US"/>
              </w:rPr>
              <w:t>ABSOLUTE DRIVER</w:t>
            </w:r>
          </w:p>
        </w:tc>
        <w:tc>
          <w:tcPr>
            <w:tcW w:w="13338" w:type="dxa"/>
            <w:gridSpan w:val="9"/>
            <w:tcBorders>
              <w:top w:val="single" w:sz="4" w:space="0" w:color="auto"/>
              <w:left w:val="single" w:sz="4" w:space="0" w:color="000000" w:themeColor="text1"/>
              <w:bottom w:val="single" w:sz="4" w:space="0" w:color="000000" w:themeColor="text1"/>
              <w:right w:val="single" w:sz="4" w:space="0" w:color="auto"/>
            </w:tcBorders>
            <w:shd w:val="clear" w:color="auto" w:fill="FFF2CC" w:themeFill="accent4" w:themeFillTint="33"/>
            <w:vAlign w:val="center"/>
          </w:tcPr>
          <w:p w14:paraId="32DEC6DF" w14:textId="77777777" w:rsidR="00570259" w:rsidRPr="001270F1" w:rsidRDefault="00570259" w:rsidP="002A73E0">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 xml:space="preserve">Promoting and safeguarding the overall value of Human well-being in accordance to Islamic teachings and the measurement of </w:t>
            </w:r>
            <w:r w:rsidRPr="001270F1">
              <w:rPr>
                <w:rFonts w:ascii="Calibri" w:hAnsi="Calibri" w:cs="Calibri"/>
                <w:i/>
                <w:iCs/>
                <w:color w:val="000000" w:themeColor="text1"/>
                <w:sz w:val="18"/>
                <w:szCs w:val="18"/>
                <w:lang w:val="en-US"/>
              </w:rPr>
              <w:t>Taqwa</w:t>
            </w:r>
            <w:r w:rsidRPr="001270F1">
              <w:rPr>
                <w:rFonts w:ascii="Calibri" w:hAnsi="Calibri" w:cs="Calibri"/>
                <w:color w:val="000000" w:themeColor="text1"/>
                <w:sz w:val="18"/>
                <w:szCs w:val="18"/>
                <w:lang w:val="en-US"/>
              </w:rPr>
              <w:t xml:space="preserve"> (God Consciousness)</w:t>
            </w:r>
          </w:p>
        </w:tc>
      </w:tr>
      <w:tr w:rsidR="001270F1" w:rsidRPr="001270F1" w14:paraId="0306DA63" w14:textId="77777777" w:rsidTr="00342376">
        <w:trPr>
          <w:gridAfter w:val="2"/>
          <w:wAfter w:w="12" w:type="dxa"/>
          <w:trHeight w:val="66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BB0236E" w14:textId="77777777" w:rsidR="00570259" w:rsidRPr="001270F1" w:rsidRDefault="00570259" w:rsidP="002A73E0">
            <w:pPr>
              <w:snapToGrid w:val="0"/>
              <w:spacing w:line="276" w:lineRule="auto"/>
              <w:jc w:val="center"/>
              <w:rPr>
                <w:rFonts w:ascii="Calibri" w:hAnsi="Calibri" w:cs="Calibri"/>
                <w:b w:val="0"/>
                <w:bCs w:val="0"/>
                <w:color w:val="000000" w:themeColor="text1"/>
                <w:sz w:val="18"/>
                <w:szCs w:val="18"/>
                <w:lang w:val="en-US"/>
              </w:rPr>
            </w:pPr>
            <w:r w:rsidRPr="001270F1">
              <w:rPr>
                <w:rFonts w:ascii="Calibri" w:hAnsi="Calibri" w:cs="Calibri"/>
                <w:caps w:val="0"/>
                <w:color w:val="000000" w:themeColor="text1"/>
                <w:sz w:val="18"/>
                <w:szCs w:val="18"/>
                <w:lang w:val="en-US"/>
              </w:rPr>
              <w:t>Theological and</w:t>
            </w:r>
            <w:r w:rsidRPr="001270F1">
              <w:rPr>
                <w:rFonts w:ascii="Calibri" w:hAnsi="Calibri" w:cs="Calibri"/>
                <w:caps w:val="0"/>
                <w:color w:val="000000" w:themeColor="text1"/>
                <w:sz w:val="18"/>
                <w:szCs w:val="18"/>
                <w:lang w:val="en-US"/>
              </w:rPr>
              <w:br/>
              <w:t>ontological drivers</w:t>
            </w:r>
            <w:r w:rsidRPr="001270F1">
              <w:rPr>
                <w:rFonts w:ascii="Calibri" w:hAnsi="Calibri" w:cs="Calibri"/>
                <w:caps w:val="0"/>
                <w:color w:val="000000" w:themeColor="text1"/>
                <w:sz w:val="18"/>
                <w:szCs w:val="18"/>
                <w:lang w:val="en-US"/>
              </w:rPr>
              <w:br/>
              <w:t>(examples not limited to)</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vAlign w:val="center"/>
          </w:tcPr>
          <w:p w14:paraId="2F4C1B0A" w14:textId="77777777" w:rsidR="00570259" w:rsidRPr="001270F1" w:rsidRDefault="00570259" w:rsidP="002A73E0">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Be a community that calls for what is good, urges what is right, and forbids what is wrong: those who do this are the successful ones. (3:104)</w:t>
            </w:r>
          </w:p>
        </w:tc>
        <w:tc>
          <w:tcPr>
            <w:tcW w:w="26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CC2E5" w:themeFill="accent5" w:themeFillTint="99"/>
            <w:vAlign w:val="center"/>
          </w:tcPr>
          <w:p w14:paraId="15B60DA7" w14:textId="77777777" w:rsidR="00570259" w:rsidRPr="001270F1" w:rsidRDefault="00570259" w:rsidP="002A73E0">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"None of you will a believer until you love your brother what you love for yourself". (Sahih al-Bukhari, hadith no. 13)</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vAlign w:val="center"/>
          </w:tcPr>
          <w:p w14:paraId="043669EE" w14:textId="77777777" w:rsidR="00570259" w:rsidRPr="001270F1" w:rsidRDefault="00570259" w:rsidP="002A73E0">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Believe in Allah and His Messenger and spend out of that [wealth] in which He has appointed you as deputies. So, for those of you who have believed and spent [in Allah’s way], there is a big reward. (57:7)</w:t>
            </w:r>
          </w:p>
        </w:tc>
        <w:tc>
          <w:tcPr>
            <w:tcW w:w="25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vAlign w:val="center"/>
          </w:tcPr>
          <w:p w14:paraId="368A9405" w14:textId="77777777" w:rsidR="00570259" w:rsidRPr="001270F1" w:rsidRDefault="00570259" w:rsidP="002A73E0">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And spend in the way of Allah and do not throw [yourselves] with your [own] hands into destruction [by refraining]. And do good; indeed, Allah loves the doers of good. (2:195)</w:t>
            </w:r>
          </w:p>
        </w:tc>
        <w:tc>
          <w:tcPr>
            <w:tcW w:w="25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vAlign w:val="center"/>
          </w:tcPr>
          <w:p w14:paraId="7D5D655F" w14:textId="77777777" w:rsidR="00570259" w:rsidRPr="001270F1" w:rsidRDefault="00570259" w:rsidP="002A73E0">
            <w:pPr>
              <w:snapToGrid w:val="0"/>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Read with the name of your Lord who created [everything]. (96:1)</w:t>
            </w:r>
          </w:p>
        </w:tc>
      </w:tr>
      <w:tr w:rsidR="001270F1" w:rsidRPr="001270F1" w14:paraId="1DD13075" w14:textId="77777777" w:rsidTr="00342376">
        <w:trPr>
          <w:gridAfter w:val="2"/>
          <w:cnfStyle w:val="000000100000" w:firstRow="0" w:lastRow="0" w:firstColumn="0" w:lastColumn="0" w:oddVBand="0" w:evenVBand="0" w:oddHBand="1" w:evenHBand="0" w:firstRowFirstColumn="0" w:firstRowLastColumn="0" w:lastRowFirstColumn="0" w:lastRowLastColumn="0"/>
          <w:wAfter w:w="12" w:type="dxa"/>
          <w:trHeight w:val="74"/>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38F4B898" w14:textId="77777777" w:rsidR="00570259" w:rsidRPr="001270F1" w:rsidRDefault="00570259" w:rsidP="002A73E0">
            <w:pPr>
              <w:snapToGrid w:val="0"/>
              <w:spacing w:line="276" w:lineRule="auto"/>
              <w:jc w:val="center"/>
              <w:rPr>
                <w:rFonts w:ascii="Calibri" w:hAnsi="Calibri" w:cs="Calibri"/>
                <w:caps w:val="0"/>
                <w:color w:val="000000" w:themeColor="text1"/>
                <w:sz w:val="18"/>
                <w:szCs w:val="18"/>
                <w:lang w:val="en-US"/>
              </w:rPr>
            </w:pPr>
            <w:proofErr w:type="spellStart"/>
            <w:r w:rsidRPr="001270F1">
              <w:rPr>
                <w:rFonts w:ascii="Calibri" w:hAnsi="Calibri" w:cs="Calibri"/>
                <w:caps w:val="0"/>
                <w:color w:val="000000" w:themeColor="text1"/>
                <w:sz w:val="18"/>
                <w:szCs w:val="18"/>
                <w:lang w:val="en-US"/>
              </w:rPr>
              <w:t>Maqasid</w:t>
            </w:r>
            <w:proofErr w:type="spellEnd"/>
            <w:r w:rsidRPr="001270F1">
              <w:rPr>
                <w:rFonts w:ascii="Calibri" w:hAnsi="Calibri" w:cs="Calibri"/>
                <w:caps w:val="0"/>
                <w:color w:val="000000" w:themeColor="text1"/>
                <w:sz w:val="18"/>
                <w:szCs w:val="18"/>
                <w:lang w:val="en-US"/>
              </w:rPr>
              <w:t xml:space="preserve"> al-Shariah Drivers</w:t>
            </w:r>
            <w:r w:rsidRPr="001270F1">
              <w:rPr>
                <w:rFonts w:ascii="Calibri" w:hAnsi="Calibri" w:cs="Calibri"/>
                <w:caps w:val="0"/>
                <w:color w:val="000000" w:themeColor="text1"/>
                <w:sz w:val="18"/>
                <w:szCs w:val="18"/>
                <w:lang w:val="en-US"/>
              </w:rPr>
              <w:br/>
              <w:t>(Shariah Objective Drivers)</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E0B3" w:themeFill="accent6" w:themeFillTint="66"/>
            <w:vAlign w:val="center"/>
          </w:tcPr>
          <w:p w14:paraId="1F5A74A4" w14:textId="77777777" w:rsidR="00570259" w:rsidRPr="001270F1" w:rsidRDefault="00570259" w:rsidP="002A73E0">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Faith</w:t>
            </w:r>
            <w:r w:rsidRPr="001270F1">
              <w:rPr>
                <w:rFonts w:ascii="Calibri" w:hAnsi="Calibri" w:cs="Calibri"/>
                <w:color w:val="000000" w:themeColor="text1"/>
                <w:sz w:val="18"/>
                <w:szCs w:val="18"/>
                <w:lang w:val="en-US"/>
              </w:rPr>
              <w:br/>
              <w:t>(God-Consciousness)</w:t>
            </w:r>
          </w:p>
        </w:tc>
        <w:tc>
          <w:tcPr>
            <w:tcW w:w="26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CC2E5" w:themeFill="accent5" w:themeFillTint="99"/>
            <w:vAlign w:val="center"/>
          </w:tcPr>
          <w:p w14:paraId="6C3984C0" w14:textId="77777777" w:rsidR="00570259" w:rsidRPr="001270F1" w:rsidRDefault="00570259" w:rsidP="002A73E0">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Posterity</w:t>
            </w:r>
          </w:p>
        </w:tc>
        <w:tc>
          <w:tcPr>
            <w:tcW w:w="26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4B083" w:themeFill="accent2" w:themeFillTint="99"/>
            <w:vAlign w:val="center"/>
          </w:tcPr>
          <w:p w14:paraId="75A6BD65" w14:textId="77777777" w:rsidR="00570259" w:rsidRPr="001270F1" w:rsidRDefault="00570259" w:rsidP="002A73E0">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Wealth</w:t>
            </w:r>
          </w:p>
        </w:tc>
        <w:tc>
          <w:tcPr>
            <w:tcW w:w="25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5" w:themeFillTint="33"/>
            <w:vAlign w:val="center"/>
          </w:tcPr>
          <w:p w14:paraId="18BCD171" w14:textId="77777777" w:rsidR="00570259" w:rsidRPr="001270F1" w:rsidRDefault="00570259" w:rsidP="002A73E0">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Life</w:t>
            </w:r>
          </w:p>
        </w:tc>
        <w:tc>
          <w:tcPr>
            <w:tcW w:w="25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BE4D5" w:themeFill="accent2" w:themeFillTint="33"/>
            <w:vAlign w:val="center"/>
          </w:tcPr>
          <w:p w14:paraId="1EBB985F" w14:textId="77777777" w:rsidR="00570259" w:rsidRPr="001270F1" w:rsidRDefault="00570259" w:rsidP="002A73E0">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Intellect</w:t>
            </w:r>
          </w:p>
        </w:tc>
      </w:tr>
      <w:tr w:rsidR="001270F1" w:rsidRPr="001270F1" w14:paraId="0A1C8B36" w14:textId="77777777" w:rsidTr="00342376">
        <w:trPr>
          <w:gridAfter w:val="2"/>
          <w:wAfter w:w="12" w:type="dxa"/>
          <w:trHeight w:val="74"/>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themeFill="accent4" w:themeFillTint="33"/>
            <w:vAlign w:val="center"/>
          </w:tcPr>
          <w:p w14:paraId="7D3CB7F7" w14:textId="77777777" w:rsidR="00570259" w:rsidRPr="001270F1" w:rsidRDefault="00570259" w:rsidP="002A73E0">
            <w:pPr>
              <w:snapToGrid w:val="0"/>
              <w:spacing w:line="276" w:lineRule="auto"/>
              <w:jc w:val="center"/>
              <w:rPr>
                <w:rFonts w:ascii="Calibri" w:hAnsi="Calibri" w:cs="Calibri"/>
                <w:caps w:val="0"/>
                <w:color w:val="000000" w:themeColor="text1"/>
                <w:sz w:val="18"/>
                <w:szCs w:val="18"/>
                <w:lang w:val="en-US"/>
              </w:rPr>
            </w:pPr>
            <w:r w:rsidRPr="001270F1">
              <w:rPr>
                <w:rFonts w:ascii="Calibri" w:hAnsi="Calibri" w:cs="Calibri"/>
                <w:caps w:val="0"/>
                <w:color w:val="000000" w:themeColor="text1"/>
                <w:sz w:val="18"/>
                <w:szCs w:val="18"/>
                <w:lang w:val="en-US"/>
              </w:rPr>
              <w:t>ISF instruments</w:t>
            </w:r>
          </w:p>
        </w:tc>
        <w:tc>
          <w:tcPr>
            <w:tcW w:w="2835" w:type="dxa"/>
            <w:tcBorders>
              <w:top w:val="single" w:sz="4" w:space="0" w:color="000000" w:themeColor="text1"/>
              <w:left w:val="single" w:sz="4" w:space="0" w:color="000000" w:themeColor="text1"/>
              <w:bottom w:val="single" w:sz="4" w:space="0" w:color="auto"/>
            </w:tcBorders>
            <w:shd w:val="clear" w:color="auto" w:fill="FFF2CC" w:themeFill="accent4" w:themeFillTint="33"/>
            <w:vAlign w:val="center"/>
          </w:tcPr>
          <w:p w14:paraId="1D6A792A" w14:textId="77777777" w:rsidR="00570259" w:rsidRPr="001270F1" w:rsidRDefault="00570259" w:rsidP="002A73E0">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 xml:space="preserve">1. </w:t>
            </w:r>
            <w:proofErr w:type="spellStart"/>
            <w:r w:rsidRPr="001270F1">
              <w:rPr>
                <w:rFonts w:ascii="Calibri" w:hAnsi="Calibri" w:cs="Calibri"/>
                <w:color w:val="000000" w:themeColor="text1"/>
                <w:sz w:val="18"/>
                <w:szCs w:val="18"/>
                <w:lang w:val="en-US"/>
              </w:rPr>
              <w:t>Fidyah</w:t>
            </w:r>
            <w:proofErr w:type="spellEnd"/>
          </w:p>
        </w:tc>
        <w:tc>
          <w:tcPr>
            <w:tcW w:w="2694" w:type="dxa"/>
            <w:tcBorders>
              <w:top w:val="single" w:sz="4" w:space="0" w:color="000000" w:themeColor="text1"/>
              <w:left w:val="nil"/>
              <w:bottom w:val="single" w:sz="4" w:space="0" w:color="auto"/>
            </w:tcBorders>
            <w:shd w:val="clear" w:color="auto" w:fill="FFF2CC" w:themeFill="accent4" w:themeFillTint="33"/>
            <w:vAlign w:val="center"/>
          </w:tcPr>
          <w:p w14:paraId="18B7129B" w14:textId="77777777" w:rsidR="00570259" w:rsidRPr="001270F1" w:rsidRDefault="00570259" w:rsidP="002A73E0">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2. Sadaqah</w:t>
            </w:r>
          </w:p>
        </w:tc>
        <w:tc>
          <w:tcPr>
            <w:tcW w:w="2693" w:type="dxa"/>
            <w:tcBorders>
              <w:top w:val="single" w:sz="4" w:space="0" w:color="000000" w:themeColor="text1"/>
              <w:left w:val="nil"/>
              <w:bottom w:val="single" w:sz="4" w:space="0" w:color="auto"/>
            </w:tcBorders>
            <w:shd w:val="clear" w:color="auto" w:fill="FFF2CC" w:themeFill="accent4" w:themeFillTint="33"/>
            <w:vAlign w:val="center"/>
          </w:tcPr>
          <w:p w14:paraId="42518FB0" w14:textId="77777777" w:rsidR="00570259" w:rsidRPr="001270F1" w:rsidRDefault="00570259" w:rsidP="002A73E0">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 xml:space="preserve">3. </w:t>
            </w:r>
            <w:proofErr w:type="spellStart"/>
            <w:r w:rsidRPr="001270F1">
              <w:rPr>
                <w:rFonts w:ascii="Calibri" w:hAnsi="Calibri" w:cs="Calibri"/>
                <w:color w:val="000000" w:themeColor="text1"/>
                <w:sz w:val="18"/>
                <w:szCs w:val="18"/>
                <w:lang w:val="en-US"/>
              </w:rPr>
              <w:t>Qard</w:t>
            </w:r>
            <w:proofErr w:type="spellEnd"/>
            <w:r w:rsidRPr="001270F1">
              <w:rPr>
                <w:rFonts w:ascii="Calibri" w:hAnsi="Calibri" w:cs="Calibri"/>
                <w:color w:val="000000" w:themeColor="text1"/>
                <w:sz w:val="18"/>
                <w:szCs w:val="18"/>
                <w:lang w:val="en-US"/>
              </w:rPr>
              <w:t xml:space="preserve"> Hasan</w:t>
            </w:r>
          </w:p>
        </w:tc>
        <w:tc>
          <w:tcPr>
            <w:tcW w:w="2552" w:type="dxa"/>
            <w:gridSpan w:val="2"/>
            <w:tcBorders>
              <w:top w:val="single" w:sz="4" w:space="0" w:color="000000" w:themeColor="text1"/>
              <w:bottom w:val="single" w:sz="4" w:space="0" w:color="auto"/>
            </w:tcBorders>
            <w:shd w:val="clear" w:color="auto" w:fill="FFF2CC" w:themeFill="accent4" w:themeFillTint="33"/>
            <w:vAlign w:val="center"/>
          </w:tcPr>
          <w:p w14:paraId="4E022270" w14:textId="77777777" w:rsidR="00570259" w:rsidRPr="001270F1" w:rsidRDefault="00570259" w:rsidP="002A73E0">
            <w:pPr>
              <w:tabs>
                <w:tab w:val="left" w:pos="443"/>
              </w:tabs>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4. Waqf</w:t>
            </w:r>
          </w:p>
        </w:tc>
        <w:tc>
          <w:tcPr>
            <w:tcW w:w="2552" w:type="dxa"/>
            <w:gridSpan w:val="2"/>
            <w:tcBorders>
              <w:top w:val="single" w:sz="4" w:space="0" w:color="000000" w:themeColor="text1"/>
              <w:left w:val="nil"/>
              <w:bottom w:val="single" w:sz="4" w:space="0" w:color="auto"/>
              <w:right w:val="single" w:sz="4" w:space="0" w:color="auto"/>
            </w:tcBorders>
            <w:shd w:val="clear" w:color="auto" w:fill="FFF2CC" w:themeFill="accent4" w:themeFillTint="33"/>
            <w:vAlign w:val="center"/>
          </w:tcPr>
          <w:p w14:paraId="42EFF1D0" w14:textId="77777777" w:rsidR="00570259" w:rsidRPr="001270F1" w:rsidRDefault="00570259" w:rsidP="002A73E0">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4.Zakat</w:t>
            </w:r>
          </w:p>
        </w:tc>
      </w:tr>
      <w:tr w:rsidR="001270F1" w:rsidRPr="001270F1" w14:paraId="0C15203E" w14:textId="77777777" w:rsidTr="00342376">
        <w:trPr>
          <w:gridAfter w:val="2"/>
          <w:cnfStyle w:val="000000100000" w:firstRow="0" w:lastRow="0" w:firstColumn="0" w:lastColumn="0" w:oddVBand="0" w:evenVBand="0" w:oddHBand="1" w:evenHBand="0" w:firstRowFirstColumn="0" w:firstRowLastColumn="0" w:lastRowFirstColumn="0" w:lastRowLastColumn="0"/>
          <w:wAfter w:w="12" w:type="dxa"/>
          <w:trHeight w:val="15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04155782" w14:textId="77777777" w:rsidR="00570259" w:rsidRPr="001270F1" w:rsidRDefault="00570259" w:rsidP="002A73E0">
            <w:pPr>
              <w:snapToGrid w:val="0"/>
              <w:spacing w:line="276" w:lineRule="auto"/>
              <w:jc w:val="center"/>
              <w:rPr>
                <w:rFonts w:ascii="Calibri" w:hAnsi="Calibri" w:cs="Calibri"/>
                <w:color w:val="000000" w:themeColor="text1"/>
                <w:sz w:val="18"/>
                <w:szCs w:val="18"/>
                <w:lang w:val="en-US"/>
              </w:rPr>
            </w:pPr>
            <w:r w:rsidRPr="001270F1">
              <w:rPr>
                <w:rFonts w:ascii="Calibri" w:hAnsi="Calibri" w:cs="Calibri"/>
                <w:caps w:val="0"/>
                <w:color w:val="000000" w:themeColor="text1"/>
                <w:sz w:val="18"/>
                <w:szCs w:val="18"/>
                <w:lang w:val="en-US"/>
              </w:rPr>
              <w:t>Core Global</w:t>
            </w:r>
            <w:r w:rsidRPr="001270F1">
              <w:rPr>
                <w:rFonts w:ascii="Calibri" w:hAnsi="Calibri" w:cs="Calibri"/>
                <w:caps w:val="0"/>
                <w:color w:val="000000" w:themeColor="text1"/>
                <w:sz w:val="18"/>
                <w:szCs w:val="18"/>
                <w:lang w:val="en-US"/>
              </w:rPr>
              <w:br/>
              <w:t xml:space="preserve"> Citizenship drivers</w:t>
            </w:r>
          </w:p>
        </w:tc>
        <w:tc>
          <w:tcPr>
            <w:tcW w:w="2835" w:type="dxa"/>
            <w:tcBorders>
              <w:top w:val="single" w:sz="4" w:space="0" w:color="auto"/>
              <w:left w:val="single" w:sz="4" w:space="0" w:color="000000" w:themeColor="text1"/>
              <w:bottom w:val="single" w:sz="4" w:space="0" w:color="auto"/>
              <w:right w:val="single" w:sz="4" w:space="0" w:color="auto"/>
            </w:tcBorders>
            <w:shd w:val="clear" w:color="auto" w:fill="C5E0B3" w:themeFill="accent6" w:themeFillTint="66"/>
            <w:vAlign w:val="center"/>
          </w:tcPr>
          <w:p w14:paraId="41CAD53E" w14:textId="77777777" w:rsidR="00570259" w:rsidRPr="001270F1" w:rsidRDefault="00570259" w:rsidP="002A73E0">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Responsibility and Stewardship</w:t>
            </w:r>
            <w:r w:rsidRPr="001270F1">
              <w:rPr>
                <w:rFonts w:ascii="Calibri" w:hAnsi="Calibri" w:cs="Calibri"/>
                <w:color w:val="000000" w:themeColor="text1"/>
                <w:sz w:val="18"/>
                <w:szCs w:val="18"/>
                <w:lang w:val="en-US"/>
              </w:rPr>
              <w:br/>
              <w:t>value and utility</w:t>
            </w:r>
          </w:p>
        </w:tc>
        <w:tc>
          <w:tcPr>
            <w:tcW w:w="2694"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14:paraId="1D637C26" w14:textId="77777777" w:rsidR="00570259" w:rsidRPr="001270F1" w:rsidRDefault="00570259" w:rsidP="002A73E0">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Future generation</w:t>
            </w:r>
            <w:r w:rsidRPr="001270F1">
              <w:rPr>
                <w:rFonts w:ascii="Calibri" w:hAnsi="Calibri" w:cs="Calibri"/>
                <w:color w:val="000000" w:themeColor="text1"/>
                <w:sz w:val="18"/>
                <w:szCs w:val="18"/>
                <w:lang w:val="en-US"/>
              </w:rPr>
              <w:br/>
              <w:t>value and utility</w:t>
            </w:r>
          </w:p>
        </w:tc>
        <w:tc>
          <w:tcPr>
            <w:tcW w:w="2693"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0C9E825E" w14:textId="77777777" w:rsidR="00570259" w:rsidRPr="001270F1" w:rsidRDefault="00570259" w:rsidP="002A73E0">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 xml:space="preserve">Financial value and utility </w:t>
            </w:r>
          </w:p>
        </w:tc>
        <w:tc>
          <w:tcPr>
            <w:tcW w:w="2552" w:type="dxa"/>
            <w:gridSpan w:val="2"/>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37FC0B58" w14:textId="77777777" w:rsidR="00570259" w:rsidRPr="001270F1" w:rsidRDefault="00570259" w:rsidP="002A73E0">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Social and Relationship</w:t>
            </w:r>
            <w:r w:rsidRPr="001270F1">
              <w:rPr>
                <w:rFonts w:ascii="Calibri" w:hAnsi="Calibri" w:cs="Calibri"/>
                <w:color w:val="000000" w:themeColor="text1"/>
                <w:sz w:val="18"/>
                <w:szCs w:val="18"/>
                <w:lang w:val="en-US"/>
              </w:rPr>
              <w:br/>
              <w:t>value and utility</w:t>
            </w:r>
          </w:p>
        </w:tc>
        <w:tc>
          <w:tcPr>
            <w:tcW w:w="2552"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B4BF57A" w14:textId="77777777" w:rsidR="00570259" w:rsidRPr="001270F1" w:rsidRDefault="00570259" w:rsidP="002A73E0">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Intellectual value and utility</w:t>
            </w:r>
          </w:p>
        </w:tc>
      </w:tr>
      <w:tr w:rsidR="001270F1" w:rsidRPr="001270F1" w14:paraId="13A25EC5" w14:textId="77777777" w:rsidTr="00342376">
        <w:trPr>
          <w:gridAfter w:val="2"/>
          <w:wAfter w:w="12" w:type="dxa"/>
          <w:trHeight w:val="74"/>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2182929D" w14:textId="77777777" w:rsidR="00570259" w:rsidRPr="001270F1" w:rsidRDefault="00570259" w:rsidP="002A73E0">
            <w:pPr>
              <w:snapToGrid w:val="0"/>
              <w:spacing w:line="276" w:lineRule="auto"/>
              <w:jc w:val="center"/>
              <w:rPr>
                <w:rFonts w:ascii="Calibri" w:hAnsi="Calibri" w:cs="Calibri"/>
                <w:color w:val="000000" w:themeColor="text1"/>
                <w:sz w:val="18"/>
                <w:szCs w:val="18"/>
                <w:lang w:val="en-US"/>
              </w:rPr>
            </w:pPr>
            <w:r w:rsidRPr="001270F1">
              <w:rPr>
                <w:rFonts w:ascii="Calibri" w:hAnsi="Calibri" w:cs="Calibri"/>
                <w:caps w:val="0"/>
                <w:color w:val="000000" w:themeColor="text1"/>
                <w:sz w:val="18"/>
                <w:szCs w:val="18"/>
                <w:lang w:val="en-US"/>
              </w:rPr>
              <w:t>Global Citizenship Metrics</w:t>
            </w:r>
            <w:r w:rsidRPr="001270F1">
              <w:rPr>
                <w:rFonts w:ascii="Calibri" w:hAnsi="Calibri" w:cs="Calibri"/>
                <w:caps w:val="0"/>
                <w:color w:val="000000" w:themeColor="text1"/>
                <w:sz w:val="18"/>
                <w:szCs w:val="18"/>
                <w:lang w:val="en-US"/>
              </w:rPr>
              <w:br/>
              <w:t>(examples not limited to)</w:t>
            </w:r>
          </w:p>
        </w:tc>
        <w:tc>
          <w:tcPr>
            <w:tcW w:w="2835" w:type="dxa"/>
            <w:tcBorders>
              <w:top w:val="single" w:sz="4" w:space="0" w:color="auto"/>
              <w:left w:val="single" w:sz="4" w:space="0" w:color="000000" w:themeColor="text1"/>
              <w:bottom w:val="single" w:sz="4" w:space="0" w:color="auto"/>
              <w:right w:val="single" w:sz="4" w:space="0" w:color="auto"/>
            </w:tcBorders>
            <w:shd w:val="clear" w:color="auto" w:fill="C5E0B3" w:themeFill="accent6" w:themeFillTint="66"/>
            <w:vAlign w:val="center"/>
          </w:tcPr>
          <w:p w14:paraId="293F4B55" w14:textId="77777777" w:rsidR="00570259" w:rsidRPr="001270F1" w:rsidRDefault="00570259" w:rsidP="002A73E0">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Moral dimensions</w:t>
            </w:r>
            <w:r w:rsidRPr="001270F1">
              <w:rPr>
                <w:rFonts w:ascii="Calibri" w:hAnsi="Calibri" w:cs="Calibri"/>
                <w:color w:val="000000" w:themeColor="text1"/>
                <w:sz w:val="18"/>
                <w:szCs w:val="18"/>
                <w:lang w:val="en-US"/>
              </w:rPr>
              <w:br/>
              <w:t>(i.e. environment, social etc.)</w:t>
            </w:r>
          </w:p>
        </w:tc>
        <w:tc>
          <w:tcPr>
            <w:tcW w:w="2694"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14:paraId="7C39BB7D" w14:textId="77777777" w:rsidR="00570259" w:rsidRPr="001270F1" w:rsidRDefault="00570259" w:rsidP="002A73E0">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Philanthropic dimensions</w:t>
            </w:r>
          </w:p>
        </w:tc>
        <w:tc>
          <w:tcPr>
            <w:tcW w:w="2693"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4DDAB2C7" w14:textId="77777777" w:rsidR="00570259" w:rsidRPr="001270F1" w:rsidRDefault="00570259" w:rsidP="002A73E0">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Ethos of Economy dimensions</w:t>
            </w:r>
          </w:p>
        </w:tc>
        <w:tc>
          <w:tcPr>
            <w:tcW w:w="2552" w:type="dxa"/>
            <w:gridSpan w:val="2"/>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5A096C9C" w14:textId="77777777" w:rsidR="00570259" w:rsidRPr="001270F1" w:rsidRDefault="00570259" w:rsidP="002A73E0">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Human rights dimensions</w:t>
            </w:r>
          </w:p>
        </w:tc>
        <w:tc>
          <w:tcPr>
            <w:tcW w:w="2552"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698813A" w14:textId="77777777" w:rsidR="00570259" w:rsidRPr="001270F1" w:rsidRDefault="00570259" w:rsidP="002A73E0">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Human Capital dimensions</w:t>
            </w:r>
          </w:p>
        </w:tc>
      </w:tr>
      <w:tr w:rsidR="001270F1" w:rsidRPr="001270F1" w14:paraId="11965253" w14:textId="77777777" w:rsidTr="00342376">
        <w:trPr>
          <w:gridAfter w:val="1"/>
          <w:cnfStyle w:val="000000100000" w:firstRow="0" w:lastRow="0" w:firstColumn="0" w:lastColumn="0" w:oddVBand="0" w:evenVBand="0" w:oddHBand="1" w:evenHBand="0" w:firstRowFirstColumn="0" w:firstRowLastColumn="0" w:lastRowFirstColumn="0" w:lastRowLastColumn="0"/>
          <w:wAfter w:w="6" w:type="dxa"/>
          <w:trHeight w:val="458"/>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themeFill="accent4" w:themeFillTint="33"/>
            <w:vAlign w:val="center"/>
          </w:tcPr>
          <w:p w14:paraId="571A7718" w14:textId="77777777" w:rsidR="00570259" w:rsidRPr="001270F1" w:rsidRDefault="00570259" w:rsidP="002A73E0">
            <w:pPr>
              <w:snapToGrid w:val="0"/>
              <w:spacing w:line="276" w:lineRule="auto"/>
              <w:jc w:val="center"/>
              <w:rPr>
                <w:rFonts w:ascii="Calibri" w:hAnsi="Calibri" w:cs="Calibri"/>
                <w:color w:val="000000" w:themeColor="text1"/>
                <w:sz w:val="18"/>
                <w:szCs w:val="18"/>
                <w:lang w:val="en-US"/>
              </w:rPr>
            </w:pPr>
            <w:r w:rsidRPr="001270F1">
              <w:rPr>
                <w:rFonts w:ascii="Calibri" w:hAnsi="Calibri" w:cs="Calibri"/>
                <w:caps w:val="0"/>
                <w:color w:val="000000" w:themeColor="text1"/>
                <w:sz w:val="18"/>
                <w:szCs w:val="18"/>
                <w:lang w:val="en-US"/>
              </w:rPr>
              <w:t>Areas of Global</w:t>
            </w:r>
            <w:r w:rsidRPr="001270F1">
              <w:rPr>
                <w:rFonts w:ascii="Calibri" w:hAnsi="Calibri" w:cs="Calibri"/>
                <w:caps w:val="0"/>
                <w:color w:val="000000" w:themeColor="text1"/>
                <w:sz w:val="18"/>
                <w:szCs w:val="18"/>
                <w:lang w:val="en-US"/>
              </w:rPr>
              <w:br/>
              <w:t>Citizenship Competencies</w:t>
            </w:r>
          </w:p>
        </w:tc>
        <w:tc>
          <w:tcPr>
            <w:tcW w:w="8228" w:type="dxa"/>
            <w:gridSpan w:val="4"/>
            <w:tcBorders>
              <w:top w:val="single" w:sz="4" w:space="0" w:color="auto"/>
              <w:left w:val="single" w:sz="4" w:space="0" w:color="000000" w:themeColor="text1"/>
              <w:bottom w:val="single" w:sz="4" w:space="0" w:color="auto"/>
              <w:right w:val="single" w:sz="4" w:space="0" w:color="auto"/>
            </w:tcBorders>
            <w:shd w:val="clear" w:color="auto" w:fill="FFF2CC" w:themeFill="accent4" w:themeFillTint="33"/>
            <w:vAlign w:val="center"/>
          </w:tcPr>
          <w:p w14:paraId="2D57B128" w14:textId="77777777" w:rsidR="00570259" w:rsidRPr="001270F1" w:rsidRDefault="00570259" w:rsidP="002A73E0">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Promote and safeguard:</w:t>
            </w:r>
          </w:p>
          <w:p w14:paraId="1834126B" w14:textId="77777777" w:rsidR="00570259" w:rsidRPr="001270F1" w:rsidRDefault="00570259" w:rsidP="002A73E0">
            <w:pPr>
              <w:pStyle w:val="ListParagraph"/>
              <w:numPr>
                <w:ilvl w:val="0"/>
                <w:numId w:val="9"/>
              </w:numPr>
              <w:snapToGrid w:val="0"/>
              <w:spacing w:line="276" w:lineRule="auto"/>
              <w:ind w:left="220" w:hanging="144"/>
              <w:contextualSpacing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the awareness of global issues</w:t>
            </w:r>
          </w:p>
          <w:p w14:paraId="20B33FE8" w14:textId="77777777" w:rsidR="00570259" w:rsidRPr="001270F1" w:rsidRDefault="00570259" w:rsidP="002A73E0">
            <w:pPr>
              <w:pStyle w:val="ListParagraph"/>
              <w:numPr>
                <w:ilvl w:val="0"/>
                <w:numId w:val="9"/>
              </w:numPr>
              <w:snapToGrid w:val="0"/>
              <w:spacing w:line="276" w:lineRule="auto"/>
              <w:ind w:left="220" w:hanging="144"/>
              <w:contextualSpacing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the respect for the values of equality, tolerance, human rights, peace, inclusion and justice</w:t>
            </w:r>
          </w:p>
          <w:p w14:paraId="17A76121" w14:textId="77777777" w:rsidR="00570259" w:rsidRPr="001270F1" w:rsidRDefault="00570259" w:rsidP="002A73E0">
            <w:pPr>
              <w:pStyle w:val="ListParagraph"/>
              <w:numPr>
                <w:ilvl w:val="0"/>
                <w:numId w:val="9"/>
              </w:numPr>
              <w:snapToGrid w:val="0"/>
              <w:spacing w:line="276" w:lineRule="auto"/>
              <w:ind w:left="220" w:hanging="144"/>
              <w:contextualSpacing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the capacity to get engaged and take actions</w:t>
            </w:r>
          </w:p>
        </w:tc>
        <w:tc>
          <w:tcPr>
            <w:tcW w:w="2552" w:type="dxa"/>
            <w:gridSpan w:val="2"/>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0B45EB29" w14:textId="77777777" w:rsidR="00570259" w:rsidRPr="001270F1" w:rsidRDefault="00570259" w:rsidP="002A73E0">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Promote and safeguard:</w:t>
            </w:r>
          </w:p>
          <w:p w14:paraId="145B31E7" w14:textId="77777777" w:rsidR="00570259" w:rsidRPr="001270F1" w:rsidRDefault="00570259" w:rsidP="002A73E0">
            <w:pPr>
              <w:pStyle w:val="ListParagraph"/>
              <w:numPr>
                <w:ilvl w:val="0"/>
                <w:numId w:val="11"/>
              </w:numPr>
              <w:snapToGrid w:val="0"/>
              <w:spacing w:line="276" w:lineRule="auto"/>
              <w:ind w:left="253" w:hanging="176"/>
              <w:contextualSpacing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interconnectedness between people and communities</w:t>
            </w:r>
          </w:p>
        </w:tc>
        <w:tc>
          <w:tcPr>
            <w:tcW w:w="2552" w:type="dxa"/>
            <w:gridSpan w:val="2"/>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099632A1" w14:textId="77777777" w:rsidR="00570259" w:rsidRPr="001270F1" w:rsidRDefault="00570259" w:rsidP="002A73E0">
            <w:pPr>
              <w:snapToGrid w:val="0"/>
              <w:spacing w:line="276"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Promote and safeguard:</w:t>
            </w:r>
          </w:p>
          <w:p w14:paraId="6220F772" w14:textId="77777777" w:rsidR="00570259" w:rsidRPr="001270F1" w:rsidRDefault="00570259" w:rsidP="002A73E0">
            <w:pPr>
              <w:pStyle w:val="ListParagraph"/>
              <w:numPr>
                <w:ilvl w:val="0"/>
                <w:numId w:val="10"/>
              </w:numPr>
              <w:snapToGrid w:val="0"/>
              <w:spacing w:line="276" w:lineRule="auto"/>
              <w:ind w:left="165" w:hanging="182"/>
              <w:contextualSpacing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the respect for diversity and intercultural understanding</w:t>
            </w:r>
          </w:p>
          <w:p w14:paraId="25C1A9A8" w14:textId="77777777" w:rsidR="00570259" w:rsidRPr="001270F1" w:rsidRDefault="00570259" w:rsidP="002A73E0">
            <w:pPr>
              <w:pStyle w:val="ListParagraph"/>
              <w:numPr>
                <w:ilvl w:val="0"/>
                <w:numId w:val="10"/>
              </w:numPr>
              <w:snapToGrid w:val="0"/>
              <w:spacing w:line="276" w:lineRule="auto"/>
              <w:ind w:left="165" w:hanging="182"/>
              <w:contextualSpacing w:val="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the capacity for critical and independent thinking</w:t>
            </w:r>
          </w:p>
        </w:tc>
      </w:tr>
      <w:tr w:rsidR="001270F1" w:rsidRPr="001270F1" w14:paraId="612F8C6C" w14:textId="77777777" w:rsidTr="00342376">
        <w:trPr>
          <w:gridAfter w:val="2"/>
          <w:wAfter w:w="12" w:type="dxa"/>
          <w:trHeight w:val="290"/>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4EE0E7C8" w14:textId="77777777" w:rsidR="00570259" w:rsidRPr="001270F1" w:rsidRDefault="00570259" w:rsidP="002A73E0">
            <w:pPr>
              <w:snapToGrid w:val="0"/>
              <w:spacing w:line="276" w:lineRule="auto"/>
              <w:jc w:val="center"/>
              <w:rPr>
                <w:rFonts w:ascii="Calibri" w:hAnsi="Calibri" w:cs="Calibri"/>
                <w:caps w:val="0"/>
                <w:color w:val="000000" w:themeColor="text1"/>
                <w:sz w:val="18"/>
                <w:szCs w:val="18"/>
                <w:lang w:val="en-US"/>
              </w:rPr>
            </w:pPr>
            <w:r w:rsidRPr="001270F1">
              <w:rPr>
                <w:rFonts w:ascii="Calibri" w:hAnsi="Calibri" w:cs="Calibri"/>
                <w:caps w:val="0"/>
                <w:color w:val="000000" w:themeColor="text1"/>
                <w:sz w:val="18"/>
                <w:szCs w:val="18"/>
                <w:lang w:val="en-US"/>
              </w:rPr>
              <w:t>Example</w:t>
            </w:r>
          </w:p>
        </w:tc>
        <w:tc>
          <w:tcPr>
            <w:tcW w:w="2835" w:type="dxa"/>
            <w:tcBorders>
              <w:top w:val="single" w:sz="4" w:space="0" w:color="auto"/>
              <w:left w:val="single" w:sz="4" w:space="0" w:color="000000" w:themeColor="text1"/>
              <w:bottom w:val="single" w:sz="4" w:space="0" w:color="auto"/>
              <w:right w:val="single" w:sz="4" w:space="0" w:color="auto"/>
            </w:tcBorders>
            <w:shd w:val="clear" w:color="auto" w:fill="C5E0B3" w:themeFill="accent6" w:themeFillTint="66"/>
            <w:vAlign w:val="center"/>
          </w:tcPr>
          <w:p w14:paraId="2528D540" w14:textId="77777777" w:rsidR="00570259" w:rsidRPr="001270F1" w:rsidRDefault="00570259" w:rsidP="002A73E0">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Islamic Relief Climate</w:t>
            </w:r>
            <w:r w:rsidRPr="001270F1">
              <w:rPr>
                <w:rFonts w:ascii="Calibri" w:hAnsi="Calibri" w:cs="Calibri"/>
                <w:color w:val="000000" w:themeColor="text1"/>
                <w:sz w:val="18"/>
                <w:szCs w:val="18"/>
                <w:lang w:val="en-US"/>
              </w:rPr>
              <w:br/>
              <w:t>Champions program</w:t>
            </w:r>
            <w:r w:rsidRPr="001270F1">
              <w:rPr>
                <w:rStyle w:val="FootnoteReference"/>
                <w:rFonts w:ascii="Calibri" w:hAnsi="Calibri" w:cs="Calibri"/>
                <w:color w:val="000000" w:themeColor="text1"/>
                <w:sz w:val="18"/>
                <w:szCs w:val="18"/>
                <w:lang w:val="en-US"/>
              </w:rPr>
              <w:footnoteReference w:id="8"/>
            </w:r>
          </w:p>
        </w:tc>
        <w:tc>
          <w:tcPr>
            <w:tcW w:w="2694"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14:paraId="2A89B9D0" w14:textId="77777777" w:rsidR="00570259" w:rsidRPr="001270F1" w:rsidRDefault="00570259" w:rsidP="002A73E0">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 xml:space="preserve">Muslim Global Relief </w:t>
            </w:r>
            <w:r w:rsidRPr="001270F1">
              <w:rPr>
                <w:rFonts w:ascii="Calibri" w:hAnsi="Calibri" w:cs="Calibri"/>
                <w:color w:val="000000" w:themeColor="text1"/>
                <w:sz w:val="18"/>
                <w:szCs w:val="18"/>
                <w:lang w:val="en-US"/>
              </w:rPr>
              <w:br/>
              <w:t>Clean Water Program</w:t>
            </w:r>
            <w:r w:rsidRPr="001270F1">
              <w:rPr>
                <w:rStyle w:val="FootnoteReference"/>
                <w:rFonts w:ascii="Calibri" w:hAnsi="Calibri" w:cs="Calibri"/>
                <w:color w:val="000000" w:themeColor="text1"/>
                <w:sz w:val="18"/>
                <w:szCs w:val="18"/>
                <w:lang w:val="en-US"/>
              </w:rPr>
              <w:footnoteReference w:id="9"/>
            </w:r>
          </w:p>
        </w:tc>
        <w:tc>
          <w:tcPr>
            <w:tcW w:w="2693"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3C344688" w14:textId="77777777" w:rsidR="00570259" w:rsidRPr="001270F1" w:rsidRDefault="00570259" w:rsidP="002A73E0">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Islamic Relief Microfinance</w:t>
            </w:r>
            <w:r w:rsidRPr="001270F1">
              <w:rPr>
                <w:rFonts w:ascii="Calibri" w:hAnsi="Calibri" w:cs="Calibri"/>
                <w:color w:val="000000" w:themeColor="text1"/>
                <w:sz w:val="18"/>
                <w:szCs w:val="18"/>
                <w:lang w:val="en-US"/>
              </w:rPr>
              <w:br/>
              <w:t>and Livelihood Program</w:t>
            </w:r>
            <w:r w:rsidRPr="001270F1">
              <w:rPr>
                <w:rStyle w:val="FootnoteReference"/>
                <w:rFonts w:ascii="Calibri" w:hAnsi="Calibri" w:cs="Calibri"/>
                <w:color w:val="000000" w:themeColor="text1"/>
                <w:sz w:val="18"/>
                <w:szCs w:val="18"/>
                <w:lang w:val="en-US"/>
              </w:rPr>
              <w:footnoteReference w:id="10"/>
            </w:r>
          </w:p>
          <w:p w14:paraId="4871BF86" w14:textId="77777777" w:rsidR="00BC076B" w:rsidRPr="001270F1" w:rsidRDefault="00BC076B" w:rsidP="002A73E0">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Social collateral (peer pressure)</w:t>
            </w:r>
          </w:p>
          <w:p w14:paraId="00AA37EF" w14:textId="2CB37A06" w:rsidR="00BC076B" w:rsidRPr="001270F1" w:rsidRDefault="00BC076B" w:rsidP="002A73E0">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Dynamic incentive</w:t>
            </w:r>
          </w:p>
        </w:tc>
        <w:tc>
          <w:tcPr>
            <w:tcW w:w="2552" w:type="dxa"/>
            <w:gridSpan w:val="2"/>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1D30775C" w14:textId="77777777" w:rsidR="00570259" w:rsidRPr="001270F1" w:rsidRDefault="00570259" w:rsidP="002A73E0">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UNHCR Zakat fund</w:t>
            </w:r>
          </w:p>
        </w:tc>
        <w:tc>
          <w:tcPr>
            <w:tcW w:w="2552"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75FCC5A" w14:textId="77777777" w:rsidR="00570259" w:rsidRPr="001270F1" w:rsidRDefault="00570259" w:rsidP="002A73E0">
            <w:pPr>
              <w:snapToGrid w:val="0"/>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Muslim Aid Education</w:t>
            </w:r>
            <w:r w:rsidRPr="001270F1">
              <w:rPr>
                <w:rFonts w:ascii="Calibri" w:hAnsi="Calibri" w:cs="Calibri"/>
                <w:color w:val="000000" w:themeColor="text1"/>
                <w:sz w:val="18"/>
                <w:szCs w:val="18"/>
                <w:lang w:val="en-US"/>
              </w:rPr>
              <w:br/>
              <w:t>Forever project</w:t>
            </w:r>
            <w:r w:rsidRPr="001270F1">
              <w:rPr>
                <w:rStyle w:val="FootnoteReference"/>
                <w:rFonts w:ascii="Calibri" w:hAnsi="Calibri" w:cs="Calibri"/>
                <w:color w:val="000000" w:themeColor="text1"/>
                <w:sz w:val="18"/>
                <w:szCs w:val="18"/>
                <w:lang w:val="en-US"/>
              </w:rPr>
              <w:footnoteReference w:id="11"/>
            </w:r>
          </w:p>
        </w:tc>
      </w:tr>
      <w:tr w:rsidR="001270F1" w:rsidRPr="001270F1" w14:paraId="2AE216D0" w14:textId="77777777" w:rsidTr="00342376">
        <w:trPr>
          <w:gridAfter w:val="2"/>
          <w:cnfStyle w:val="000000100000" w:firstRow="0" w:lastRow="0" w:firstColumn="0" w:lastColumn="0" w:oddVBand="0" w:evenVBand="0" w:oddHBand="1" w:evenHBand="0" w:firstRowFirstColumn="0" w:firstRowLastColumn="0" w:lastRowFirstColumn="0" w:lastRowLastColumn="0"/>
          <w:wAfter w:w="12" w:type="dxa"/>
          <w:trHeight w:val="122"/>
        </w:trPr>
        <w:tc>
          <w:tcPr>
            <w:cnfStyle w:val="001000000000" w:firstRow="0" w:lastRow="0" w:firstColumn="1" w:lastColumn="0" w:oddVBand="0" w:evenVBand="0" w:oddHBand="0" w:evenHBand="0" w:firstRowFirstColumn="0" w:firstRowLastColumn="0" w:lastRowFirstColumn="0" w:lastRowLastColumn="0"/>
            <w:tcW w:w="22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vAlign w:val="center"/>
          </w:tcPr>
          <w:p w14:paraId="782AE6CB" w14:textId="77777777" w:rsidR="00570259" w:rsidRPr="001270F1" w:rsidRDefault="00570259" w:rsidP="002A73E0">
            <w:pPr>
              <w:snapToGrid w:val="0"/>
              <w:spacing w:line="276" w:lineRule="auto"/>
              <w:jc w:val="center"/>
              <w:rPr>
                <w:rFonts w:ascii="Calibri" w:hAnsi="Calibri" w:cs="Calibri"/>
                <w:caps w:val="0"/>
                <w:color w:val="000000" w:themeColor="text1"/>
                <w:sz w:val="18"/>
                <w:szCs w:val="18"/>
                <w:lang w:val="en-US"/>
              </w:rPr>
            </w:pPr>
            <w:r w:rsidRPr="001270F1">
              <w:rPr>
                <w:rFonts w:ascii="Calibri" w:hAnsi="Calibri" w:cs="Calibri"/>
                <w:caps w:val="0"/>
                <w:color w:val="000000" w:themeColor="text1"/>
                <w:sz w:val="18"/>
                <w:szCs w:val="18"/>
                <w:lang w:val="en-US"/>
              </w:rPr>
              <w:t>SDG factors</w:t>
            </w:r>
          </w:p>
        </w:tc>
        <w:tc>
          <w:tcPr>
            <w:tcW w:w="2835" w:type="dxa"/>
            <w:tcBorders>
              <w:top w:val="single" w:sz="4" w:space="0" w:color="auto"/>
              <w:left w:val="single" w:sz="4" w:space="0" w:color="000000" w:themeColor="text1"/>
              <w:bottom w:val="single" w:sz="4" w:space="0" w:color="auto"/>
              <w:right w:val="single" w:sz="4" w:space="0" w:color="auto"/>
            </w:tcBorders>
            <w:shd w:val="clear" w:color="auto" w:fill="C5E0B3" w:themeFill="accent6" w:themeFillTint="66"/>
            <w:vAlign w:val="center"/>
          </w:tcPr>
          <w:p w14:paraId="20E4F89A" w14:textId="77777777" w:rsidR="00570259" w:rsidRPr="001270F1" w:rsidRDefault="00570259" w:rsidP="002A73E0">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SDGs no. 2, 6, 7, 11,</w:t>
            </w:r>
            <w:r w:rsidRPr="001270F1">
              <w:rPr>
                <w:rFonts w:ascii="Calibri" w:hAnsi="Calibri" w:cs="Calibri"/>
                <w:color w:val="000000" w:themeColor="text1"/>
                <w:sz w:val="18"/>
                <w:szCs w:val="18"/>
                <w:lang w:val="en-US"/>
              </w:rPr>
              <w:br/>
              <w:t>12, 13, 14, 16, 17</w:t>
            </w:r>
          </w:p>
        </w:tc>
        <w:tc>
          <w:tcPr>
            <w:tcW w:w="2694" w:type="dxa"/>
            <w:tcBorders>
              <w:top w:val="single" w:sz="4" w:space="0" w:color="auto"/>
              <w:left w:val="single" w:sz="4" w:space="0" w:color="auto"/>
              <w:bottom w:val="single" w:sz="4" w:space="0" w:color="auto"/>
              <w:right w:val="single" w:sz="4" w:space="0" w:color="auto"/>
            </w:tcBorders>
            <w:shd w:val="clear" w:color="auto" w:fill="9CC2E5" w:themeFill="accent5" w:themeFillTint="99"/>
            <w:vAlign w:val="center"/>
          </w:tcPr>
          <w:p w14:paraId="0B21F35B" w14:textId="77777777" w:rsidR="00570259" w:rsidRPr="001270F1" w:rsidRDefault="00570259" w:rsidP="002A73E0">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SDGs no. 3, 4, 5, 6, 7, 8,</w:t>
            </w:r>
          </w:p>
          <w:p w14:paraId="3081A182" w14:textId="77777777" w:rsidR="00570259" w:rsidRPr="001270F1" w:rsidRDefault="00570259" w:rsidP="002A73E0">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10, 12, 13, 14, 16, 17</w:t>
            </w:r>
          </w:p>
        </w:tc>
        <w:tc>
          <w:tcPr>
            <w:tcW w:w="2693" w:type="dxa"/>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tcPr>
          <w:p w14:paraId="781DBB96" w14:textId="77777777" w:rsidR="00570259" w:rsidRPr="001270F1" w:rsidRDefault="00570259" w:rsidP="002A73E0">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SDGs no. 3, 4, 5, 6, 7, 8, 9, 10,</w:t>
            </w:r>
          </w:p>
          <w:p w14:paraId="27B24EA6" w14:textId="77777777" w:rsidR="00570259" w:rsidRPr="001270F1" w:rsidRDefault="00570259" w:rsidP="002A73E0">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11, 12, 13, 14, 15, 16, 17</w:t>
            </w:r>
          </w:p>
        </w:tc>
        <w:tc>
          <w:tcPr>
            <w:tcW w:w="2552" w:type="dxa"/>
            <w:gridSpan w:val="2"/>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7E7FF22B" w14:textId="77777777" w:rsidR="00570259" w:rsidRPr="001270F1" w:rsidRDefault="00570259" w:rsidP="002A73E0">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SDGs no. 1, 2, 3, 4, 5, 6, 7, 8, 9, 10, 11, 12, 13, 14, 15, 16, 17</w:t>
            </w:r>
          </w:p>
        </w:tc>
        <w:tc>
          <w:tcPr>
            <w:tcW w:w="2552" w:type="dxa"/>
            <w:gridSpan w:val="2"/>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0D7A60D9" w14:textId="77777777" w:rsidR="00570259" w:rsidRPr="001270F1" w:rsidRDefault="00570259" w:rsidP="002A73E0">
            <w:pPr>
              <w:snapToGrid w:val="0"/>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SDGs no. 3, 6, 7, 10,</w:t>
            </w:r>
            <w:r w:rsidRPr="001270F1">
              <w:rPr>
                <w:rFonts w:ascii="Calibri" w:hAnsi="Calibri" w:cs="Calibri"/>
                <w:color w:val="000000" w:themeColor="text1"/>
                <w:sz w:val="18"/>
                <w:szCs w:val="18"/>
                <w:lang w:val="en-US"/>
              </w:rPr>
              <w:br/>
              <w:t>12, 13, 14, 16, 17</w:t>
            </w:r>
          </w:p>
        </w:tc>
      </w:tr>
    </w:tbl>
    <w:p w14:paraId="3E91E2F5" w14:textId="77777777" w:rsidR="00570259" w:rsidRPr="001270F1" w:rsidRDefault="00570259" w:rsidP="00665090">
      <w:pPr>
        <w:tabs>
          <w:tab w:val="left" w:pos="6160"/>
        </w:tabs>
        <w:snapToGrid w:val="0"/>
        <w:spacing w:before="120" w:after="120"/>
        <w:rPr>
          <w:rFonts w:ascii="Calibri" w:hAnsi="Calibri" w:cs="Calibri"/>
          <w:i/>
          <w:iCs/>
          <w:color w:val="000000" w:themeColor="text1"/>
          <w:sz w:val="22"/>
          <w:szCs w:val="22"/>
        </w:rPr>
        <w:sectPr w:rsidR="00570259" w:rsidRPr="001270F1" w:rsidSect="00342376">
          <w:pgSz w:w="16840" w:h="11900" w:orient="landscape"/>
          <w:pgMar w:top="720" w:right="720" w:bottom="720" w:left="720" w:header="709" w:footer="709" w:gutter="0"/>
          <w:cols w:space="708"/>
          <w:docGrid w:linePitch="360"/>
        </w:sectPr>
      </w:pPr>
      <w:r w:rsidRPr="001270F1">
        <w:rPr>
          <w:rFonts w:ascii="Calibri" w:hAnsi="Calibri" w:cs="Calibri"/>
          <w:i/>
          <w:iCs/>
          <w:color w:val="000000" w:themeColor="text1"/>
          <w:sz w:val="22"/>
          <w:szCs w:val="22"/>
        </w:rPr>
        <w:t>Source: Authors’ illustration.</w:t>
      </w:r>
    </w:p>
    <w:p w14:paraId="19134E0B" w14:textId="447EEF74" w:rsidR="00356F0D" w:rsidRPr="001270F1" w:rsidRDefault="007D4E76" w:rsidP="00665090">
      <w:pPr>
        <w:snapToGrid w:val="0"/>
        <w:spacing w:before="120" w:after="120"/>
        <w:jc w:val="center"/>
        <w:rPr>
          <w:rFonts w:ascii="Calibri" w:hAnsi="Calibri" w:cs="Calibri"/>
          <w:b/>
          <w:bCs/>
          <w:color w:val="000000" w:themeColor="text1"/>
          <w:sz w:val="28"/>
          <w:szCs w:val="28"/>
        </w:rPr>
      </w:pPr>
      <w:r w:rsidRPr="001270F1">
        <w:rPr>
          <w:rFonts w:ascii="Calibri" w:hAnsi="Calibri" w:cs="Calibri"/>
          <w:b/>
          <w:bCs/>
          <w:color w:val="000000" w:themeColor="text1"/>
          <w:sz w:val="28"/>
          <w:szCs w:val="28"/>
        </w:rPr>
        <w:lastRenderedPageBreak/>
        <w:t>CONCLUSION</w:t>
      </w:r>
    </w:p>
    <w:p w14:paraId="7DBCB016" w14:textId="243ED237" w:rsidR="00570259" w:rsidRPr="001270F1" w:rsidRDefault="00570259" w:rsidP="00665090">
      <w:pPr>
        <w:snapToGrid w:val="0"/>
        <w:spacing w:before="120" w:after="120"/>
        <w:jc w:val="both"/>
        <w:rPr>
          <w:rFonts w:ascii="Calibri" w:hAnsi="Calibri" w:cs="Calibri"/>
          <w:i/>
          <w:iCs/>
          <w:color w:val="000000" w:themeColor="text1"/>
          <w:sz w:val="22"/>
          <w:szCs w:val="22"/>
        </w:rPr>
      </w:pPr>
      <w:r w:rsidRPr="001270F1">
        <w:rPr>
          <w:rFonts w:ascii="Calibri" w:hAnsi="Calibri" w:cs="Calibri"/>
          <w:color w:val="000000" w:themeColor="text1"/>
        </w:rPr>
        <w:t xml:space="preserve">The </w:t>
      </w:r>
      <w:proofErr w:type="spellStart"/>
      <w:r w:rsidRPr="001270F1">
        <w:rPr>
          <w:rFonts w:ascii="Calibri" w:hAnsi="Calibri" w:cs="Calibri"/>
          <w:i/>
          <w:iCs/>
          <w:color w:val="000000" w:themeColor="text1"/>
        </w:rPr>
        <w:t>Maqasid</w:t>
      </w:r>
      <w:proofErr w:type="spellEnd"/>
      <w:r w:rsidRPr="001270F1">
        <w:rPr>
          <w:rFonts w:ascii="Calibri" w:hAnsi="Calibri" w:cs="Calibri"/>
          <w:i/>
          <w:iCs/>
          <w:color w:val="000000" w:themeColor="text1"/>
        </w:rPr>
        <w:t xml:space="preserve"> al-Shariah</w:t>
      </w:r>
      <w:r w:rsidRPr="001270F1">
        <w:rPr>
          <w:rFonts w:ascii="Calibri" w:hAnsi="Calibri" w:cs="Calibri"/>
          <w:color w:val="000000" w:themeColor="text1"/>
        </w:rPr>
        <w:t>-based</w:t>
      </w:r>
      <w:r w:rsidRPr="001270F1">
        <w:rPr>
          <w:rFonts w:ascii="Calibri" w:hAnsi="Calibri" w:cs="Calibri"/>
          <w:b/>
          <w:bCs/>
          <w:color w:val="000000" w:themeColor="text1"/>
        </w:rPr>
        <w:t xml:space="preserve"> </w:t>
      </w:r>
      <w:r w:rsidRPr="001270F1">
        <w:rPr>
          <w:rFonts w:ascii="Calibri" w:hAnsi="Calibri" w:cs="Calibri"/>
          <w:color w:val="000000" w:themeColor="text1"/>
        </w:rPr>
        <w:t>SDGED Framework also serve to complement the localization efforts of SDGED through Islamic pedagogy principles</w:t>
      </w:r>
      <w:r w:rsidRPr="001270F1">
        <w:rPr>
          <w:rStyle w:val="FootnoteReference"/>
          <w:rFonts w:ascii="Calibri" w:hAnsi="Calibri" w:cs="Calibri"/>
          <w:color w:val="000000" w:themeColor="text1"/>
        </w:rPr>
        <w:footnoteReference w:id="12"/>
      </w:r>
      <w:r w:rsidRPr="001270F1">
        <w:rPr>
          <w:rFonts w:ascii="Calibri" w:hAnsi="Calibri" w:cs="Calibri"/>
          <w:color w:val="000000" w:themeColor="text1"/>
        </w:rPr>
        <w:t xml:space="preserve"> as illustrated in table 2. While the commonalities between the two frameworks are based upon shared ground of societal development and betterment, the driver, source of guidance, and the outcome of education hold a notable difference (see table 3). A definite case in point is religious obligation upon Islamic students and educators to practice what they have learned as individuals before promoting or advocating it others. This nuance of self-assessment and accountability is not apparent in the ‘un-localized’ SDFED framework.</w:t>
      </w:r>
    </w:p>
    <w:p w14:paraId="4ABC2916" w14:textId="77777777" w:rsidR="00570259" w:rsidRPr="001270F1" w:rsidRDefault="00570259" w:rsidP="00665090">
      <w:pPr>
        <w:snapToGrid w:val="0"/>
        <w:spacing w:before="120" w:after="120"/>
        <w:jc w:val="both"/>
        <w:rPr>
          <w:rFonts w:ascii="Calibri" w:hAnsi="Calibri" w:cs="Calibri"/>
          <w:i/>
          <w:iCs/>
          <w:color w:val="000000" w:themeColor="text1"/>
          <w:sz w:val="22"/>
          <w:szCs w:val="22"/>
        </w:rPr>
      </w:pPr>
      <w:r w:rsidRPr="001270F1">
        <w:rPr>
          <w:rFonts w:ascii="Calibri" w:hAnsi="Calibri" w:cs="Calibri"/>
          <w:i/>
          <w:iCs/>
          <w:color w:val="000000" w:themeColor="text1"/>
          <w:sz w:val="22"/>
          <w:szCs w:val="22"/>
        </w:rPr>
        <w:t xml:space="preserve">Table 3: Commonalties and differences between SDGED and </w:t>
      </w:r>
      <w:proofErr w:type="spellStart"/>
      <w:r w:rsidRPr="001270F1">
        <w:rPr>
          <w:rFonts w:ascii="Calibri" w:hAnsi="Calibri" w:cs="Calibri"/>
          <w:i/>
          <w:iCs/>
          <w:color w:val="000000" w:themeColor="text1"/>
          <w:sz w:val="22"/>
          <w:szCs w:val="22"/>
        </w:rPr>
        <w:t>Maqasid</w:t>
      </w:r>
      <w:proofErr w:type="spellEnd"/>
      <w:r w:rsidRPr="001270F1">
        <w:rPr>
          <w:rFonts w:ascii="Calibri" w:hAnsi="Calibri" w:cs="Calibri"/>
          <w:i/>
          <w:iCs/>
          <w:color w:val="000000" w:themeColor="text1"/>
          <w:sz w:val="22"/>
          <w:szCs w:val="22"/>
        </w:rPr>
        <w:t>-based SDGED framework</w:t>
      </w:r>
    </w:p>
    <w:tbl>
      <w:tblPr>
        <w:tblStyle w:val="GridTable5Dark-Accent3"/>
        <w:tblW w:w="8910" w:type="dxa"/>
        <w:tblLayout w:type="fixed"/>
        <w:tblLook w:val="04A0" w:firstRow="1" w:lastRow="0" w:firstColumn="1" w:lastColumn="0" w:noHBand="0" w:noVBand="1"/>
      </w:tblPr>
      <w:tblGrid>
        <w:gridCol w:w="1411"/>
        <w:gridCol w:w="3684"/>
        <w:gridCol w:w="3794"/>
        <w:gridCol w:w="21"/>
      </w:tblGrid>
      <w:tr w:rsidR="001270F1" w:rsidRPr="001270F1" w14:paraId="15430A6D" w14:textId="77777777" w:rsidTr="00342376">
        <w:trPr>
          <w:gridAfter w:val="1"/>
          <w:cnfStyle w:val="100000000000" w:firstRow="1" w:lastRow="0" w:firstColumn="0" w:lastColumn="0" w:oddVBand="0" w:evenVBand="0" w:oddHBand="0" w:evenHBand="0" w:firstRowFirstColumn="0" w:firstRowLastColumn="0" w:lastRowFirstColumn="0" w:lastRowLastColumn="0"/>
          <w:wAfter w:w="21" w:type="dxa"/>
          <w:trHeight w:val="520"/>
        </w:trPr>
        <w:tc>
          <w:tcPr>
            <w:cnfStyle w:val="001000000000" w:firstRow="0" w:lastRow="0" w:firstColumn="1" w:lastColumn="0" w:oddVBand="0" w:evenVBand="0" w:oddHBand="0" w:evenHBand="0" w:firstRowFirstColumn="0" w:firstRowLastColumn="0" w:lastRowFirstColumn="0" w:lastRowLastColumn="0"/>
            <w:tcW w:w="1411" w:type="dxa"/>
            <w:noWrap/>
            <w:vAlign w:val="center"/>
            <w:hideMark/>
          </w:tcPr>
          <w:p w14:paraId="2F811CD1" w14:textId="77777777" w:rsidR="00570259" w:rsidRPr="001270F1" w:rsidRDefault="00570259" w:rsidP="00665090">
            <w:pPr>
              <w:tabs>
                <w:tab w:val="left" w:pos="6946"/>
              </w:tabs>
              <w:snapToGrid w:val="0"/>
              <w:spacing w:before="120" w:after="120"/>
              <w:jc w:val="center"/>
              <w:rPr>
                <w:rFonts w:ascii="Calibri" w:hAnsi="Calibri" w:cs="Calibri"/>
                <w:color w:val="000000" w:themeColor="text1"/>
                <w:sz w:val="18"/>
                <w:szCs w:val="18"/>
                <w:lang w:val="en-US"/>
              </w:rPr>
            </w:pPr>
          </w:p>
        </w:tc>
        <w:tc>
          <w:tcPr>
            <w:tcW w:w="3684" w:type="dxa"/>
            <w:noWrap/>
            <w:vAlign w:val="center"/>
            <w:hideMark/>
          </w:tcPr>
          <w:p w14:paraId="073B4004" w14:textId="77777777" w:rsidR="00570259" w:rsidRPr="001270F1" w:rsidRDefault="00570259" w:rsidP="00665090">
            <w:pPr>
              <w:tabs>
                <w:tab w:val="left" w:pos="6946"/>
              </w:tabs>
              <w:snapToGrid w:val="0"/>
              <w:spacing w:before="120" w:after="12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proofErr w:type="spellStart"/>
            <w:r w:rsidRPr="001270F1">
              <w:rPr>
                <w:rFonts w:ascii="Calibri" w:hAnsi="Calibri" w:cs="Calibri"/>
                <w:color w:val="000000" w:themeColor="text1"/>
                <w:sz w:val="18"/>
                <w:szCs w:val="18"/>
                <w:lang w:val="en-US"/>
              </w:rPr>
              <w:t>Maqasid</w:t>
            </w:r>
            <w:proofErr w:type="spellEnd"/>
            <w:r w:rsidRPr="001270F1">
              <w:rPr>
                <w:rFonts w:ascii="Calibri" w:hAnsi="Calibri" w:cs="Calibri"/>
                <w:color w:val="000000" w:themeColor="text1"/>
                <w:sz w:val="18"/>
                <w:szCs w:val="18"/>
                <w:lang w:val="en-US"/>
              </w:rPr>
              <w:t>-based</w:t>
            </w:r>
            <w:r w:rsidRPr="001270F1">
              <w:rPr>
                <w:rFonts w:ascii="Calibri" w:hAnsi="Calibri" w:cs="Calibri"/>
                <w:color w:val="000000" w:themeColor="text1"/>
                <w:sz w:val="18"/>
                <w:szCs w:val="18"/>
                <w:lang w:val="en-US"/>
              </w:rPr>
              <w:br/>
              <w:t>SDG Education Framework</w:t>
            </w:r>
          </w:p>
        </w:tc>
        <w:tc>
          <w:tcPr>
            <w:tcW w:w="3794" w:type="dxa"/>
            <w:noWrap/>
            <w:vAlign w:val="center"/>
            <w:hideMark/>
          </w:tcPr>
          <w:p w14:paraId="071394E0" w14:textId="77777777" w:rsidR="00570259" w:rsidRPr="001270F1" w:rsidRDefault="00570259" w:rsidP="00665090">
            <w:pPr>
              <w:tabs>
                <w:tab w:val="left" w:pos="6946"/>
              </w:tabs>
              <w:snapToGrid w:val="0"/>
              <w:spacing w:before="120" w:after="12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SDG Education Framework</w:t>
            </w:r>
          </w:p>
        </w:tc>
      </w:tr>
      <w:tr w:rsidR="001270F1" w:rsidRPr="001270F1" w14:paraId="780FE97F" w14:textId="77777777" w:rsidTr="00342376">
        <w:trPr>
          <w:gridAfter w:val="1"/>
          <w:cnfStyle w:val="000000100000" w:firstRow="0" w:lastRow="0" w:firstColumn="0" w:lastColumn="0" w:oddVBand="0" w:evenVBand="0" w:oddHBand="1" w:evenHBand="0" w:firstRowFirstColumn="0" w:firstRowLastColumn="0" w:lastRowFirstColumn="0" w:lastRowLastColumn="0"/>
          <w:wAfter w:w="21" w:type="dxa"/>
          <w:trHeight w:val="477"/>
        </w:trPr>
        <w:tc>
          <w:tcPr>
            <w:cnfStyle w:val="001000000000" w:firstRow="0" w:lastRow="0" w:firstColumn="1" w:lastColumn="0" w:oddVBand="0" w:evenVBand="0" w:oddHBand="0" w:evenHBand="0" w:firstRowFirstColumn="0" w:firstRowLastColumn="0" w:lastRowFirstColumn="0" w:lastRowLastColumn="0"/>
            <w:tcW w:w="1411" w:type="dxa"/>
            <w:vMerge w:val="restart"/>
            <w:noWrap/>
            <w:vAlign w:val="center"/>
            <w:hideMark/>
          </w:tcPr>
          <w:p w14:paraId="47F3C227" w14:textId="77777777" w:rsidR="00570259" w:rsidRPr="001270F1" w:rsidRDefault="00570259" w:rsidP="00665090">
            <w:pPr>
              <w:tabs>
                <w:tab w:val="left" w:pos="6946"/>
              </w:tabs>
              <w:snapToGrid w:val="0"/>
              <w:spacing w:before="120" w:after="12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Driver</w:t>
            </w:r>
          </w:p>
        </w:tc>
        <w:tc>
          <w:tcPr>
            <w:tcW w:w="3684" w:type="dxa"/>
            <w:vAlign w:val="center"/>
            <w:hideMark/>
          </w:tcPr>
          <w:p w14:paraId="6D6C21BD" w14:textId="77777777" w:rsidR="00570259" w:rsidRPr="001270F1" w:rsidRDefault="00570259" w:rsidP="00665090">
            <w:pPr>
              <w:tabs>
                <w:tab w:val="left" w:pos="6946"/>
              </w:tabs>
              <w:snapToGrid w:val="0"/>
              <w:spacing w:before="120" w:after="12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 xml:space="preserve">Promoting and safeguarding the overall value of Human well-being in accordance to Islamic teachings and the measurement of </w:t>
            </w:r>
            <w:r w:rsidRPr="001270F1">
              <w:rPr>
                <w:rFonts w:ascii="Calibri" w:hAnsi="Calibri" w:cs="Calibri"/>
                <w:i/>
                <w:iCs/>
                <w:color w:val="000000" w:themeColor="text1"/>
                <w:sz w:val="18"/>
                <w:szCs w:val="18"/>
                <w:lang w:val="en-US"/>
              </w:rPr>
              <w:t>Taqwa</w:t>
            </w:r>
            <w:r w:rsidRPr="001270F1">
              <w:rPr>
                <w:rFonts w:ascii="Calibri" w:hAnsi="Calibri" w:cs="Calibri"/>
                <w:color w:val="000000" w:themeColor="text1"/>
                <w:sz w:val="18"/>
                <w:szCs w:val="18"/>
                <w:lang w:val="en-US"/>
              </w:rPr>
              <w:t xml:space="preserve"> (God Consciousness)</w:t>
            </w:r>
          </w:p>
        </w:tc>
        <w:tc>
          <w:tcPr>
            <w:tcW w:w="3794" w:type="dxa"/>
            <w:vAlign w:val="center"/>
            <w:hideMark/>
          </w:tcPr>
          <w:p w14:paraId="68574C1D" w14:textId="77777777" w:rsidR="00570259" w:rsidRPr="001270F1" w:rsidRDefault="00570259" w:rsidP="00665090">
            <w:pPr>
              <w:tabs>
                <w:tab w:val="left" w:pos="6946"/>
              </w:tabs>
              <w:snapToGrid w:val="0"/>
              <w:spacing w:before="120" w:after="12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To achieve a SDGs objective</w:t>
            </w:r>
          </w:p>
        </w:tc>
      </w:tr>
      <w:tr w:rsidR="001270F1" w:rsidRPr="001270F1" w14:paraId="4AC0ACE0" w14:textId="77777777" w:rsidTr="00342376">
        <w:trPr>
          <w:trHeight w:val="436"/>
        </w:trPr>
        <w:tc>
          <w:tcPr>
            <w:cnfStyle w:val="001000000000" w:firstRow="0" w:lastRow="0" w:firstColumn="1" w:lastColumn="0" w:oddVBand="0" w:evenVBand="0" w:oddHBand="0" w:evenHBand="0" w:firstRowFirstColumn="0" w:firstRowLastColumn="0" w:lastRowFirstColumn="0" w:lastRowLastColumn="0"/>
            <w:tcW w:w="1411" w:type="dxa"/>
            <w:vMerge/>
            <w:vAlign w:val="center"/>
            <w:hideMark/>
          </w:tcPr>
          <w:p w14:paraId="157D9BBC" w14:textId="77777777" w:rsidR="00570259" w:rsidRPr="001270F1" w:rsidRDefault="00570259" w:rsidP="00665090">
            <w:pPr>
              <w:tabs>
                <w:tab w:val="left" w:pos="6946"/>
              </w:tabs>
              <w:snapToGrid w:val="0"/>
              <w:spacing w:before="120" w:after="120"/>
              <w:rPr>
                <w:rFonts w:ascii="Calibri" w:hAnsi="Calibri" w:cs="Calibri"/>
                <w:color w:val="000000" w:themeColor="text1"/>
                <w:sz w:val="18"/>
                <w:szCs w:val="18"/>
                <w:lang w:val="en-US"/>
              </w:rPr>
            </w:pPr>
          </w:p>
        </w:tc>
        <w:tc>
          <w:tcPr>
            <w:tcW w:w="7499" w:type="dxa"/>
            <w:gridSpan w:val="3"/>
            <w:noWrap/>
            <w:vAlign w:val="center"/>
            <w:hideMark/>
          </w:tcPr>
          <w:p w14:paraId="0ECC32AC" w14:textId="77777777" w:rsidR="00570259" w:rsidRPr="001270F1" w:rsidRDefault="00570259" w:rsidP="00665090">
            <w:pPr>
              <w:tabs>
                <w:tab w:val="left" w:pos="6946"/>
              </w:tabs>
              <w:snapToGrid w:val="0"/>
              <w:spacing w:before="120" w:after="12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Both types share ethical and moral objectives obligation</w:t>
            </w:r>
          </w:p>
        </w:tc>
      </w:tr>
      <w:tr w:rsidR="001270F1" w:rsidRPr="001270F1" w14:paraId="48164172" w14:textId="77777777" w:rsidTr="00342376">
        <w:trPr>
          <w:gridAfter w:val="1"/>
          <w:cnfStyle w:val="000000100000" w:firstRow="0" w:lastRow="0" w:firstColumn="0" w:lastColumn="0" w:oddVBand="0" w:evenVBand="0" w:oddHBand="1" w:evenHBand="0" w:firstRowFirstColumn="0" w:firstRowLastColumn="0" w:lastRowFirstColumn="0" w:lastRowLastColumn="0"/>
          <w:wAfter w:w="21" w:type="dxa"/>
          <w:trHeight w:val="1203"/>
        </w:trPr>
        <w:tc>
          <w:tcPr>
            <w:cnfStyle w:val="001000000000" w:firstRow="0" w:lastRow="0" w:firstColumn="1" w:lastColumn="0" w:oddVBand="0" w:evenVBand="0" w:oddHBand="0" w:evenHBand="0" w:firstRowFirstColumn="0" w:firstRowLastColumn="0" w:lastRowFirstColumn="0" w:lastRowLastColumn="0"/>
            <w:tcW w:w="1411" w:type="dxa"/>
            <w:vAlign w:val="center"/>
            <w:hideMark/>
          </w:tcPr>
          <w:p w14:paraId="5CB4F6A6" w14:textId="77777777" w:rsidR="00570259" w:rsidRPr="001270F1" w:rsidRDefault="00570259" w:rsidP="00665090">
            <w:pPr>
              <w:tabs>
                <w:tab w:val="left" w:pos="6946"/>
              </w:tabs>
              <w:snapToGrid w:val="0"/>
              <w:spacing w:before="120" w:after="12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Source of Guidance and Definition of Limits</w:t>
            </w:r>
          </w:p>
        </w:tc>
        <w:tc>
          <w:tcPr>
            <w:tcW w:w="3684" w:type="dxa"/>
            <w:vAlign w:val="center"/>
            <w:hideMark/>
          </w:tcPr>
          <w:p w14:paraId="25672003" w14:textId="77777777" w:rsidR="00570259" w:rsidRPr="001270F1" w:rsidRDefault="00570259" w:rsidP="00665090">
            <w:pPr>
              <w:tabs>
                <w:tab w:val="left" w:pos="6946"/>
              </w:tabs>
              <w:snapToGrid w:val="0"/>
              <w:spacing w:before="120" w:after="12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Quran, Prophetic Traditions and Jurisprudence Legal Collective Interpretations</w:t>
            </w:r>
          </w:p>
        </w:tc>
        <w:tc>
          <w:tcPr>
            <w:tcW w:w="3794" w:type="dxa"/>
            <w:vAlign w:val="center"/>
            <w:hideMark/>
          </w:tcPr>
          <w:p w14:paraId="0043E78A" w14:textId="77777777" w:rsidR="00570259" w:rsidRPr="001270F1" w:rsidRDefault="00570259" w:rsidP="00665090">
            <w:pPr>
              <w:tabs>
                <w:tab w:val="left" w:pos="6946"/>
              </w:tabs>
              <w:snapToGrid w:val="0"/>
              <w:spacing w:before="120" w:after="12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Historically, it was originated through faith-based movement. Nowadays its parameters are blurred by the tide of secularism and modernity, and are self-delineated</w:t>
            </w:r>
          </w:p>
        </w:tc>
      </w:tr>
      <w:tr w:rsidR="001270F1" w:rsidRPr="001270F1" w14:paraId="4E0DAF29" w14:textId="77777777" w:rsidTr="00342376">
        <w:trPr>
          <w:gridAfter w:val="1"/>
          <w:wAfter w:w="21" w:type="dxa"/>
          <w:trHeight w:val="1238"/>
        </w:trPr>
        <w:tc>
          <w:tcPr>
            <w:cnfStyle w:val="001000000000" w:firstRow="0" w:lastRow="0" w:firstColumn="1" w:lastColumn="0" w:oddVBand="0" w:evenVBand="0" w:oddHBand="0" w:evenHBand="0" w:firstRowFirstColumn="0" w:firstRowLastColumn="0" w:lastRowFirstColumn="0" w:lastRowLastColumn="0"/>
            <w:tcW w:w="1411" w:type="dxa"/>
            <w:noWrap/>
            <w:vAlign w:val="center"/>
            <w:hideMark/>
          </w:tcPr>
          <w:p w14:paraId="18D9819E" w14:textId="77777777" w:rsidR="00570259" w:rsidRPr="001270F1" w:rsidRDefault="00570259" w:rsidP="00665090">
            <w:pPr>
              <w:tabs>
                <w:tab w:val="left" w:pos="6946"/>
              </w:tabs>
              <w:snapToGrid w:val="0"/>
              <w:spacing w:before="120" w:after="12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Category of Knowledge</w:t>
            </w:r>
          </w:p>
        </w:tc>
        <w:tc>
          <w:tcPr>
            <w:tcW w:w="3684" w:type="dxa"/>
            <w:vAlign w:val="center"/>
            <w:hideMark/>
          </w:tcPr>
          <w:p w14:paraId="6B4E4C09" w14:textId="77777777" w:rsidR="00570259" w:rsidRPr="001270F1" w:rsidRDefault="00570259" w:rsidP="00665090">
            <w:pPr>
              <w:tabs>
                <w:tab w:val="left" w:pos="6946"/>
              </w:tabs>
              <w:snapToGrid w:val="0"/>
              <w:spacing w:before="120"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Emancipatory knowledge based on hermeneutical and critical interpretations</w:t>
            </w:r>
          </w:p>
        </w:tc>
        <w:tc>
          <w:tcPr>
            <w:tcW w:w="3794" w:type="dxa"/>
            <w:vAlign w:val="center"/>
            <w:hideMark/>
          </w:tcPr>
          <w:p w14:paraId="35C7D39B" w14:textId="77777777" w:rsidR="00570259" w:rsidRPr="001270F1" w:rsidRDefault="00570259" w:rsidP="00665090">
            <w:pPr>
              <w:tabs>
                <w:tab w:val="left" w:pos="6946"/>
              </w:tabs>
              <w:snapToGrid w:val="0"/>
              <w:spacing w:before="120"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Emancipatory knowledge based on self-reflections and interpretations</w:t>
            </w:r>
          </w:p>
        </w:tc>
      </w:tr>
      <w:tr w:rsidR="001270F1" w:rsidRPr="001270F1" w14:paraId="4312A78E" w14:textId="77777777" w:rsidTr="00342376">
        <w:trPr>
          <w:gridAfter w:val="1"/>
          <w:cnfStyle w:val="000000100000" w:firstRow="0" w:lastRow="0" w:firstColumn="0" w:lastColumn="0" w:oddVBand="0" w:evenVBand="0" w:oddHBand="1" w:evenHBand="0" w:firstRowFirstColumn="0" w:firstRowLastColumn="0" w:lastRowFirstColumn="0" w:lastRowLastColumn="0"/>
          <w:wAfter w:w="21" w:type="dxa"/>
          <w:trHeight w:val="389"/>
        </w:trPr>
        <w:tc>
          <w:tcPr>
            <w:cnfStyle w:val="001000000000" w:firstRow="0" w:lastRow="0" w:firstColumn="1" w:lastColumn="0" w:oddVBand="0" w:evenVBand="0" w:oddHBand="0" w:evenHBand="0" w:firstRowFirstColumn="0" w:firstRowLastColumn="0" w:lastRowFirstColumn="0" w:lastRowLastColumn="0"/>
            <w:tcW w:w="1411" w:type="dxa"/>
            <w:noWrap/>
            <w:vAlign w:val="center"/>
          </w:tcPr>
          <w:p w14:paraId="7E05872A" w14:textId="77777777" w:rsidR="00570259" w:rsidRPr="001270F1" w:rsidRDefault="00570259" w:rsidP="00665090">
            <w:pPr>
              <w:tabs>
                <w:tab w:val="left" w:pos="6946"/>
              </w:tabs>
              <w:snapToGrid w:val="0"/>
              <w:spacing w:before="120" w:after="12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View of Education</w:t>
            </w:r>
          </w:p>
        </w:tc>
        <w:tc>
          <w:tcPr>
            <w:tcW w:w="3684" w:type="dxa"/>
            <w:noWrap/>
            <w:vAlign w:val="center"/>
          </w:tcPr>
          <w:p w14:paraId="351F5D34" w14:textId="77777777" w:rsidR="00570259" w:rsidRPr="001270F1" w:rsidRDefault="00570259" w:rsidP="00665090">
            <w:pPr>
              <w:tabs>
                <w:tab w:val="left" w:pos="6946"/>
              </w:tabs>
              <w:snapToGrid w:val="0"/>
              <w:spacing w:before="120" w:after="12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Religious primacy on seeking for knowledge</w:t>
            </w:r>
          </w:p>
        </w:tc>
        <w:tc>
          <w:tcPr>
            <w:tcW w:w="3794" w:type="dxa"/>
            <w:vAlign w:val="center"/>
          </w:tcPr>
          <w:p w14:paraId="0F4772FA" w14:textId="77777777" w:rsidR="00570259" w:rsidRPr="001270F1" w:rsidRDefault="00570259" w:rsidP="00665090">
            <w:pPr>
              <w:tabs>
                <w:tab w:val="left" w:pos="6946"/>
              </w:tabs>
              <w:snapToGrid w:val="0"/>
              <w:spacing w:before="120" w:after="12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Education for social and development transformation</w:t>
            </w:r>
          </w:p>
        </w:tc>
      </w:tr>
      <w:tr w:rsidR="001270F1" w:rsidRPr="001270F1" w14:paraId="0188DA58" w14:textId="77777777" w:rsidTr="00342376">
        <w:trPr>
          <w:gridAfter w:val="1"/>
          <w:wAfter w:w="21" w:type="dxa"/>
          <w:trHeight w:val="756"/>
        </w:trPr>
        <w:tc>
          <w:tcPr>
            <w:cnfStyle w:val="001000000000" w:firstRow="0" w:lastRow="0" w:firstColumn="1" w:lastColumn="0" w:oddVBand="0" w:evenVBand="0" w:oddHBand="0" w:evenHBand="0" w:firstRowFirstColumn="0" w:firstRowLastColumn="0" w:lastRowFirstColumn="0" w:lastRowLastColumn="0"/>
            <w:tcW w:w="1411" w:type="dxa"/>
            <w:noWrap/>
            <w:vAlign w:val="center"/>
            <w:hideMark/>
          </w:tcPr>
          <w:p w14:paraId="3DB2B80C" w14:textId="77777777" w:rsidR="00570259" w:rsidRPr="001270F1" w:rsidRDefault="00570259" w:rsidP="00665090">
            <w:pPr>
              <w:tabs>
                <w:tab w:val="left" w:pos="6946"/>
              </w:tabs>
              <w:snapToGrid w:val="0"/>
              <w:spacing w:before="120" w:after="12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Outcome of Education</w:t>
            </w:r>
          </w:p>
        </w:tc>
        <w:tc>
          <w:tcPr>
            <w:tcW w:w="3684" w:type="dxa"/>
            <w:noWrap/>
            <w:vAlign w:val="center"/>
            <w:hideMark/>
          </w:tcPr>
          <w:p w14:paraId="0C4B6673" w14:textId="77777777" w:rsidR="00570259" w:rsidRPr="001270F1" w:rsidRDefault="00570259" w:rsidP="00665090">
            <w:pPr>
              <w:pStyle w:val="ListParagraph"/>
              <w:numPr>
                <w:ilvl w:val="0"/>
                <w:numId w:val="16"/>
              </w:numPr>
              <w:tabs>
                <w:tab w:val="left" w:pos="6946"/>
              </w:tabs>
              <w:snapToGrid w:val="0"/>
              <w:spacing w:before="120" w:after="120"/>
              <w:ind w:left="178" w:hanging="243"/>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Religiously responsible to act upon what one learns and teaches</w:t>
            </w:r>
          </w:p>
          <w:p w14:paraId="43A60532" w14:textId="77777777" w:rsidR="00570259" w:rsidRPr="001270F1" w:rsidRDefault="00570259" w:rsidP="00665090">
            <w:pPr>
              <w:pStyle w:val="ListParagraph"/>
              <w:numPr>
                <w:ilvl w:val="0"/>
                <w:numId w:val="16"/>
              </w:numPr>
              <w:tabs>
                <w:tab w:val="left" w:pos="6946"/>
              </w:tabs>
              <w:snapToGrid w:val="0"/>
              <w:spacing w:before="120" w:after="120"/>
              <w:ind w:left="178" w:hanging="243"/>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Religiously responsible for self-assessment and accountability</w:t>
            </w:r>
          </w:p>
        </w:tc>
        <w:tc>
          <w:tcPr>
            <w:tcW w:w="3794" w:type="dxa"/>
            <w:vAlign w:val="center"/>
            <w:hideMark/>
          </w:tcPr>
          <w:p w14:paraId="53222A93" w14:textId="77777777" w:rsidR="00570259" w:rsidRPr="001270F1" w:rsidRDefault="00570259" w:rsidP="00665090">
            <w:pPr>
              <w:pStyle w:val="ListParagraph"/>
              <w:numPr>
                <w:ilvl w:val="0"/>
                <w:numId w:val="16"/>
              </w:numPr>
              <w:tabs>
                <w:tab w:val="left" w:pos="6946"/>
              </w:tabs>
              <w:snapToGrid w:val="0"/>
              <w:spacing w:before="120" w:after="120"/>
              <w:ind w:left="178" w:hanging="243"/>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Become cognizant of moral values that protect common good</w:t>
            </w:r>
          </w:p>
          <w:p w14:paraId="60C83A51" w14:textId="77777777" w:rsidR="00570259" w:rsidRPr="001270F1" w:rsidRDefault="00570259" w:rsidP="00665090">
            <w:pPr>
              <w:pStyle w:val="ListParagraph"/>
              <w:numPr>
                <w:ilvl w:val="0"/>
                <w:numId w:val="16"/>
              </w:numPr>
              <w:tabs>
                <w:tab w:val="left" w:pos="6946"/>
              </w:tabs>
              <w:snapToGrid w:val="0"/>
              <w:spacing w:before="120" w:after="120"/>
              <w:ind w:left="178" w:hanging="243"/>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Develop and apply criteria based on ethical and moral values</w:t>
            </w:r>
          </w:p>
          <w:p w14:paraId="7C722B5C" w14:textId="77777777" w:rsidR="00570259" w:rsidRPr="001270F1" w:rsidRDefault="00570259" w:rsidP="00665090">
            <w:pPr>
              <w:pStyle w:val="ListParagraph"/>
              <w:numPr>
                <w:ilvl w:val="0"/>
                <w:numId w:val="16"/>
              </w:numPr>
              <w:tabs>
                <w:tab w:val="left" w:pos="6946"/>
              </w:tabs>
              <w:snapToGrid w:val="0"/>
              <w:spacing w:before="120" w:after="120"/>
              <w:ind w:left="178" w:hanging="243"/>
              <w:contextualSpacing w:val="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Initiate activisms and exercise values base on community outreach</w:t>
            </w:r>
          </w:p>
          <w:p w14:paraId="42F664E1" w14:textId="77777777" w:rsidR="00570259" w:rsidRPr="001270F1" w:rsidRDefault="00570259" w:rsidP="00665090">
            <w:pPr>
              <w:tabs>
                <w:tab w:val="left" w:pos="6946"/>
              </w:tabs>
              <w:snapToGrid w:val="0"/>
              <w:spacing w:before="120"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lang w:val="en-US"/>
              </w:rPr>
            </w:pPr>
          </w:p>
        </w:tc>
      </w:tr>
      <w:tr w:rsidR="001270F1" w:rsidRPr="001270F1" w14:paraId="7175A321" w14:textId="77777777" w:rsidTr="00342376">
        <w:trPr>
          <w:gridAfter w:val="1"/>
          <w:cnfStyle w:val="000000100000" w:firstRow="0" w:lastRow="0" w:firstColumn="0" w:lastColumn="0" w:oddVBand="0" w:evenVBand="0" w:oddHBand="1" w:evenHBand="0" w:firstRowFirstColumn="0" w:firstRowLastColumn="0" w:lastRowFirstColumn="0" w:lastRowLastColumn="0"/>
          <w:wAfter w:w="21" w:type="dxa"/>
          <w:trHeight w:val="1049"/>
        </w:trPr>
        <w:tc>
          <w:tcPr>
            <w:cnfStyle w:val="001000000000" w:firstRow="0" w:lastRow="0" w:firstColumn="1" w:lastColumn="0" w:oddVBand="0" w:evenVBand="0" w:oddHBand="0" w:evenHBand="0" w:firstRowFirstColumn="0" w:firstRowLastColumn="0" w:lastRowFirstColumn="0" w:lastRowLastColumn="0"/>
            <w:tcW w:w="1411" w:type="dxa"/>
            <w:noWrap/>
            <w:vAlign w:val="center"/>
            <w:hideMark/>
          </w:tcPr>
          <w:p w14:paraId="7A2D03D5" w14:textId="77777777" w:rsidR="00570259" w:rsidRPr="001270F1" w:rsidRDefault="00570259" w:rsidP="00665090">
            <w:pPr>
              <w:tabs>
                <w:tab w:val="left" w:pos="6946"/>
              </w:tabs>
              <w:snapToGrid w:val="0"/>
              <w:spacing w:before="120" w:after="12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View on SDGs</w:t>
            </w:r>
          </w:p>
        </w:tc>
        <w:tc>
          <w:tcPr>
            <w:tcW w:w="3684" w:type="dxa"/>
            <w:vAlign w:val="center"/>
            <w:hideMark/>
          </w:tcPr>
          <w:p w14:paraId="2BF9067B" w14:textId="77777777" w:rsidR="00570259" w:rsidRPr="001270F1" w:rsidRDefault="00570259" w:rsidP="00665090">
            <w:pPr>
              <w:tabs>
                <w:tab w:val="left" w:pos="6946"/>
              </w:tabs>
              <w:snapToGrid w:val="0"/>
              <w:spacing w:before="120" w:after="12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Human beings are God’s vicegerents for the societal development and betterment</w:t>
            </w:r>
          </w:p>
        </w:tc>
        <w:tc>
          <w:tcPr>
            <w:tcW w:w="3794" w:type="dxa"/>
            <w:noWrap/>
            <w:vAlign w:val="center"/>
            <w:hideMark/>
          </w:tcPr>
          <w:p w14:paraId="0B7A64B1" w14:textId="77777777" w:rsidR="00570259" w:rsidRPr="001270F1" w:rsidRDefault="00570259" w:rsidP="00665090">
            <w:pPr>
              <w:tabs>
                <w:tab w:val="left" w:pos="6946"/>
              </w:tabs>
              <w:snapToGrid w:val="0"/>
              <w:spacing w:before="120" w:after="12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sz w:val="18"/>
                <w:szCs w:val="18"/>
                <w:lang w:val="en-US"/>
              </w:rPr>
            </w:pPr>
            <w:r w:rsidRPr="001270F1">
              <w:rPr>
                <w:rFonts w:ascii="Calibri" w:hAnsi="Calibri" w:cs="Calibri"/>
                <w:color w:val="000000" w:themeColor="text1"/>
                <w:sz w:val="18"/>
                <w:szCs w:val="18"/>
                <w:lang w:val="en-US"/>
              </w:rPr>
              <w:t>Human beings are the agents of societal and development change</w:t>
            </w:r>
          </w:p>
        </w:tc>
      </w:tr>
    </w:tbl>
    <w:p w14:paraId="4900181B" w14:textId="77777777" w:rsidR="00570259" w:rsidRPr="001270F1" w:rsidRDefault="00570259" w:rsidP="00665090">
      <w:pPr>
        <w:snapToGrid w:val="0"/>
        <w:spacing w:before="120" w:after="120"/>
        <w:jc w:val="both"/>
        <w:rPr>
          <w:rFonts w:ascii="Calibri" w:hAnsi="Calibri" w:cs="Calibri"/>
          <w:i/>
          <w:iCs/>
          <w:color w:val="000000" w:themeColor="text1"/>
          <w:sz w:val="22"/>
          <w:szCs w:val="22"/>
        </w:rPr>
      </w:pPr>
      <w:r w:rsidRPr="001270F1">
        <w:rPr>
          <w:rFonts w:ascii="Calibri" w:hAnsi="Calibri" w:cs="Calibri"/>
          <w:i/>
          <w:iCs/>
          <w:color w:val="000000" w:themeColor="text1"/>
          <w:sz w:val="22"/>
          <w:szCs w:val="22"/>
        </w:rPr>
        <w:lastRenderedPageBreak/>
        <w:t>Source: Authors’ own</w:t>
      </w:r>
    </w:p>
    <w:p w14:paraId="23A9AC09" w14:textId="77777777" w:rsidR="00570259" w:rsidRPr="001270F1" w:rsidRDefault="00570259" w:rsidP="00665090">
      <w:pPr>
        <w:snapToGrid w:val="0"/>
        <w:spacing w:before="120" w:after="120"/>
        <w:rPr>
          <w:color w:val="000000" w:themeColor="text1"/>
        </w:rPr>
      </w:pPr>
    </w:p>
    <w:p w14:paraId="3F39A225" w14:textId="77777777" w:rsidR="00570259" w:rsidRPr="001270F1" w:rsidRDefault="00570259" w:rsidP="00665090">
      <w:pPr>
        <w:snapToGrid w:val="0"/>
        <w:spacing w:before="120" w:after="120"/>
        <w:ind w:firstLine="720"/>
        <w:jc w:val="both"/>
        <w:rPr>
          <w:rFonts w:ascii="Calibri" w:hAnsi="Calibri" w:cs="Calibri"/>
          <w:color w:val="000000" w:themeColor="text1"/>
        </w:rPr>
      </w:pPr>
      <w:r w:rsidRPr="001270F1">
        <w:rPr>
          <w:rFonts w:ascii="Calibri" w:hAnsi="Calibri" w:cs="Calibri"/>
          <w:color w:val="000000" w:themeColor="text1"/>
        </w:rPr>
        <w:t xml:space="preserve">All in </w:t>
      </w:r>
      <w:proofErr w:type="gramStart"/>
      <w:r w:rsidRPr="001270F1">
        <w:rPr>
          <w:rFonts w:ascii="Calibri" w:hAnsi="Calibri" w:cs="Calibri"/>
          <w:color w:val="000000" w:themeColor="text1"/>
        </w:rPr>
        <w:t>all</w:t>
      </w:r>
      <w:proofErr w:type="gramEnd"/>
      <w:r w:rsidRPr="001270F1">
        <w:rPr>
          <w:rFonts w:ascii="Calibri" w:hAnsi="Calibri" w:cs="Calibri"/>
          <w:color w:val="000000" w:themeColor="text1"/>
        </w:rPr>
        <w:t xml:space="preserve"> concerning ISF, despite observing various Global Citizenship engagement by ISF institutions or individuals, little effort has been given to calibrate the ISF institutions and induvial contributions to SDG agendas.  Most emergency appeals and charity campaigns are promoted under the Islamic theological and ontological drivers with limited reference given to SDG agendas. This practice's implication is apparent in the total Islamic charitable collection between UNHCR (United Nations High Commissioner for Refugees) and Islamic relief in 2018. Islamic Relief managed to collect approximately USD 160 million (Islamic Relief, 2019) while UNHCR only collected USD 14.4 million. The 'sanitized' and un-localized promotion of UN SDG funds may be one of the contributing factors to the steep contrast. This further validates studies on the importance of localized SDGED in our previous discussions.</w:t>
      </w:r>
    </w:p>
    <w:p w14:paraId="210E4D38" w14:textId="5BEF5A9D" w:rsidR="00570259" w:rsidRPr="001270F1" w:rsidRDefault="00570259" w:rsidP="00665090">
      <w:pPr>
        <w:pStyle w:val="Heading2"/>
        <w:snapToGrid w:val="0"/>
        <w:spacing w:before="120" w:after="120"/>
        <w:rPr>
          <w:rFonts w:asciiTheme="minorHAnsi" w:hAnsiTheme="minorHAnsi" w:cstheme="minorHAnsi"/>
          <w:b/>
          <w:bCs/>
          <w:color w:val="000000" w:themeColor="text1"/>
          <w:sz w:val="28"/>
          <w:szCs w:val="28"/>
          <w:lang w:val="en-US"/>
        </w:rPr>
      </w:pPr>
    </w:p>
    <w:p w14:paraId="0C9D5412" w14:textId="77777777" w:rsidR="00570259" w:rsidRPr="001270F1" w:rsidRDefault="00570259" w:rsidP="00665090">
      <w:pPr>
        <w:pStyle w:val="Heading2"/>
        <w:snapToGrid w:val="0"/>
        <w:spacing w:before="120" w:after="120"/>
        <w:rPr>
          <w:rFonts w:asciiTheme="minorHAnsi" w:hAnsiTheme="minorHAnsi" w:cstheme="minorHAnsi"/>
          <w:b/>
          <w:bCs/>
          <w:color w:val="000000" w:themeColor="text1"/>
          <w:sz w:val="28"/>
          <w:szCs w:val="28"/>
          <w:lang w:val="en-US"/>
        </w:rPr>
      </w:pPr>
    </w:p>
    <w:p w14:paraId="0AAEFDB9" w14:textId="77777777" w:rsidR="00570259" w:rsidRPr="001270F1" w:rsidRDefault="00570259" w:rsidP="00665090">
      <w:pPr>
        <w:pStyle w:val="Heading2"/>
        <w:snapToGrid w:val="0"/>
        <w:spacing w:before="120" w:after="120"/>
        <w:jc w:val="center"/>
        <w:rPr>
          <w:rFonts w:asciiTheme="minorHAnsi" w:hAnsiTheme="minorHAnsi" w:cstheme="minorHAnsi"/>
          <w:b/>
          <w:bCs/>
          <w:color w:val="000000" w:themeColor="text1"/>
          <w:sz w:val="28"/>
          <w:szCs w:val="28"/>
          <w:lang w:val="en-US"/>
        </w:rPr>
      </w:pPr>
      <w:r w:rsidRPr="001270F1">
        <w:rPr>
          <w:rFonts w:asciiTheme="minorHAnsi" w:hAnsiTheme="minorHAnsi" w:cstheme="minorHAnsi"/>
          <w:b/>
          <w:bCs/>
          <w:color w:val="000000" w:themeColor="text1"/>
          <w:sz w:val="28"/>
          <w:szCs w:val="28"/>
          <w:lang w:val="en-US"/>
        </w:rPr>
        <w:t>REFERENCES</w:t>
      </w:r>
    </w:p>
    <w:p w14:paraId="76486B1C" w14:textId="77777777" w:rsidR="00570259" w:rsidRPr="001270F1" w:rsidRDefault="00570259" w:rsidP="00665090">
      <w:pPr>
        <w:snapToGrid w:val="0"/>
        <w:spacing w:before="120" w:after="120"/>
        <w:rPr>
          <w:color w:val="000000" w:themeColor="text1"/>
        </w:rPr>
      </w:pPr>
    </w:p>
    <w:p w14:paraId="53420742" w14:textId="77777777" w:rsidR="00570259" w:rsidRPr="001270F1" w:rsidRDefault="00570259" w:rsidP="00665090">
      <w:pPr>
        <w:pStyle w:val="NormalWeb"/>
        <w:snapToGrid w:val="0"/>
        <w:spacing w:before="120" w:beforeAutospacing="0" w:after="120" w:afterAutospacing="0"/>
        <w:ind w:left="450" w:hanging="450"/>
        <w:rPr>
          <w:rFonts w:ascii="Calibri" w:hAnsi="Calibri" w:cs="Calibri"/>
          <w:color w:val="000000" w:themeColor="text1"/>
          <w:lang w:val="en-US"/>
        </w:rPr>
      </w:pPr>
      <w:r w:rsidRPr="001270F1">
        <w:rPr>
          <w:rFonts w:ascii="Calibri" w:hAnsi="Calibri" w:cs="Calibri"/>
          <w:color w:val="000000" w:themeColor="text1"/>
          <w:lang w:val="en-US"/>
        </w:rPr>
        <w:t>Abdelrahman, A. (2013). </w:t>
      </w:r>
      <w:r w:rsidRPr="001270F1">
        <w:rPr>
          <w:rFonts w:ascii="Calibri" w:hAnsi="Calibri" w:cs="Calibri"/>
          <w:i/>
          <w:iCs/>
          <w:color w:val="000000" w:themeColor="text1"/>
          <w:lang w:val="en-US"/>
        </w:rPr>
        <w:t>Fundamental Issues in Islamic Economics</w:t>
      </w:r>
      <w:r w:rsidRPr="001270F1">
        <w:rPr>
          <w:rFonts w:ascii="Calibri" w:hAnsi="Calibri" w:cs="Calibri"/>
          <w:color w:val="000000" w:themeColor="text1"/>
          <w:lang w:val="en-US"/>
        </w:rPr>
        <w:t xml:space="preserve">. </w:t>
      </w:r>
      <w:proofErr w:type="spellStart"/>
      <w:r w:rsidRPr="001270F1">
        <w:rPr>
          <w:rFonts w:ascii="Calibri" w:hAnsi="Calibri" w:cs="Calibri"/>
          <w:color w:val="000000" w:themeColor="text1"/>
          <w:lang w:val="en-US"/>
        </w:rPr>
        <w:t>Saarbrücken</w:t>
      </w:r>
      <w:proofErr w:type="spellEnd"/>
      <w:r w:rsidRPr="001270F1">
        <w:rPr>
          <w:rFonts w:ascii="Calibri" w:hAnsi="Calibri" w:cs="Calibri"/>
          <w:color w:val="000000" w:themeColor="text1"/>
          <w:lang w:val="en-US"/>
        </w:rPr>
        <w:t>: LAP LAMBERT Academic Publishing.</w:t>
      </w:r>
    </w:p>
    <w:p w14:paraId="271D5302" w14:textId="77777777" w:rsidR="00570259" w:rsidRPr="001270F1" w:rsidRDefault="00570259" w:rsidP="00665090">
      <w:pPr>
        <w:snapToGrid w:val="0"/>
        <w:spacing w:before="120" w:after="120"/>
        <w:ind w:left="426" w:hanging="426"/>
        <w:rPr>
          <w:rFonts w:ascii="Calibri" w:hAnsi="Calibri" w:cs="Calibri"/>
          <w:color w:val="000000" w:themeColor="text1"/>
        </w:rPr>
      </w:pPr>
      <w:proofErr w:type="spellStart"/>
      <w:r w:rsidRPr="001270F1">
        <w:rPr>
          <w:rFonts w:ascii="Calibri" w:hAnsi="Calibri" w:cs="Calibri"/>
          <w:color w:val="000000" w:themeColor="text1"/>
        </w:rPr>
        <w:t>Ajem</w:t>
      </w:r>
      <w:proofErr w:type="spellEnd"/>
      <w:r w:rsidRPr="001270F1">
        <w:rPr>
          <w:rFonts w:ascii="Calibri" w:hAnsi="Calibri" w:cs="Calibri"/>
          <w:color w:val="000000" w:themeColor="text1"/>
        </w:rPr>
        <w:t xml:space="preserve">, R., &amp; Memon, N. (2011). </w:t>
      </w:r>
      <w:r w:rsidRPr="001270F1">
        <w:rPr>
          <w:rFonts w:ascii="Calibri" w:hAnsi="Calibri" w:cs="Calibri"/>
          <w:i/>
          <w:iCs/>
          <w:color w:val="000000" w:themeColor="text1"/>
        </w:rPr>
        <w:t>Principles of Islamic Pedagogy: A Teacher's Manual</w:t>
      </w:r>
      <w:r w:rsidRPr="001270F1">
        <w:rPr>
          <w:rFonts w:ascii="Calibri" w:hAnsi="Calibri" w:cs="Calibri"/>
          <w:color w:val="000000" w:themeColor="text1"/>
        </w:rPr>
        <w:t>. Canada: Islamic Teacher Education Program.</w:t>
      </w:r>
    </w:p>
    <w:p w14:paraId="0D5FD12D" w14:textId="77777777" w:rsidR="00906392" w:rsidRPr="001270F1" w:rsidRDefault="00906392" w:rsidP="00665090">
      <w:pPr>
        <w:snapToGrid w:val="0"/>
        <w:spacing w:before="120" w:after="120"/>
        <w:ind w:left="720" w:hanging="720"/>
        <w:rPr>
          <w:rFonts w:ascii="Calibri" w:hAnsi="Calibri" w:cs="Calibri"/>
          <w:color w:val="000000" w:themeColor="text1"/>
        </w:rPr>
      </w:pPr>
      <w:r w:rsidRPr="001270F1">
        <w:rPr>
          <w:rFonts w:ascii="Calibri" w:hAnsi="Calibri" w:cs="Calibri"/>
          <w:color w:val="000000" w:themeColor="text1"/>
        </w:rPr>
        <w:t xml:space="preserve">Baldwin-Philippi, J. (2015) </w:t>
      </w:r>
      <w:r w:rsidRPr="001270F1">
        <w:rPr>
          <w:rFonts w:ascii="Calibri" w:hAnsi="Calibri" w:cs="Calibri"/>
          <w:i/>
          <w:iCs/>
          <w:color w:val="000000" w:themeColor="text1"/>
        </w:rPr>
        <w:t>Using Technology, Building Democracy: Digital Campaigning and the Construction of Citizenship</w:t>
      </w:r>
      <w:r w:rsidRPr="001270F1">
        <w:rPr>
          <w:rFonts w:ascii="Calibri" w:hAnsi="Calibri" w:cs="Calibri"/>
          <w:color w:val="000000" w:themeColor="text1"/>
        </w:rPr>
        <w:t>. Oxford: Oxford University Press.</w:t>
      </w:r>
    </w:p>
    <w:p w14:paraId="2FE85C0D" w14:textId="77777777" w:rsidR="00906392" w:rsidRPr="001270F1" w:rsidRDefault="00906392" w:rsidP="00665090">
      <w:pPr>
        <w:snapToGrid w:val="0"/>
        <w:spacing w:before="120" w:after="120"/>
        <w:ind w:left="720" w:hanging="720"/>
        <w:rPr>
          <w:rFonts w:ascii="Calibri" w:hAnsi="Calibri" w:cs="Calibri"/>
          <w:color w:val="000000" w:themeColor="text1"/>
        </w:rPr>
      </w:pPr>
      <w:r w:rsidRPr="001270F1">
        <w:rPr>
          <w:rFonts w:ascii="Calibri" w:hAnsi="Calibri" w:cs="Calibri"/>
          <w:color w:val="000000" w:themeColor="text1"/>
        </w:rPr>
        <w:t xml:space="preserve">Bamber, P. (Ed). (2020). </w:t>
      </w:r>
      <w:r w:rsidRPr="001270F1">
        <w:rPr>
          <w:rFonts w:ascii="Calibri" w:hAnsi="Calibri" w:cs="Calibri"/>
          <w:i/>
          <w:color w:val="000000" w:themeColor="text1"/>
        </w:rPr>
        <w:t>Teacher Education for Sustainable Development and Global Citizenship</w:t>
      </w:r>
      <w:r w:rsidRPr="001270F1">
        <w:rPr>
          <w:rFonts w:ascii="Calibri" w:hAnsi="Calibri" w:cs="Calibri"/>
          <w:color w:val="000000" w:themeColor="text1"/>
        </w:rPr>
        <w:t xml:space="preserve">. New York: Routledge. </w:t>
      </w:r>
    </w:p>
    <w:p w14:paraId="2B063A03" w14:textId="77777777" w:rsidR="00570259" w:rsidRPr="001270F1" w:rsidRDefault="00570259" w:rsidP="00665090">
      <w:pPr>
        <w:pStyle w:val="NormalWeb"/>
        <w:snapToGrid w:val="0"/>
        <w:spacing w:before="120" w:beforeAutospacing="0" w:after="120" w:afterAutospacing="0"/>
        <w:ind w:left="450" w:hanging="450"/>
        <w:rPr>
          <w:rFonts w:ascii="Calibri" w:hAnsi="Calibri" w:cs="Calibri"/>
          <w:color w:val="000000" w:themeColor="text1"/>
          <w:lang w:val="en-US"/>
        </w:rPr>
      </w:pPr>
      <w:r w:rsidRPr="001270F1">
        <w:rPr>
          <w:rFonts w:ascii="Calibri" w:hAnsi="Calibri" w:cs="Calibri"/>
          <w:color w:val="000000" w:themeColor="text1"/>
          <w:lang w:val="en-US"/>
        </w:rPr>
        <w:t>BAZNAZ. (2019). </w:t>
      </w:r>
      <w:r w:rsidRPr="001270F1">
        <w:rPr>
          <w:rFonts w:ascii="Calibri" w:hAnsi="Calibri" w:cs="Calibri"/>
          <w:i/>
          <w:iCs/>
          <w:color w:val="000000" w:themeColor="text1"/>
          <w:lang w:val="en-US"/>
        </w:rPr>
        <w:t>Indonesia Zakat Outlook 2019</w:t>
      </w:r>
      <w:r w:rsidRPr="001270F1">
        <w:rPr>
          <w:rFonts w:ascii="Calibri" w:hAnsi="Calibri" w:cs="Calibri"/>
          <w:color w:val="000000" w:themeColor="text1"/>
          <w:lang w:val="en-US"/>
        </w:rPr>
        <w:t>. BAZNAZ. Retrieved from https://www.puskasbaznas.com/publications/outlook/indonesia-zakat-outlook-2019/899-indonesia-zakat-outlook-2019</w:t>
      </w:r>
    </w:p>
    <w:p w14:paraId="6F887996" w14:textId="77777777" w:rsidR="00906392" w:rsidRPr="001270F1" w:rsidRDefault="00906392" w:rsidP="00665090">
      <w:pPr>
        <w:snapToGrid w:val="0"/>
        <w:spacing w:before="120" w:after="120"/>
        <w:ind w:left="720" w:hanging="720"/>
        <w:rPr>
          <w:rFonts w:ascii="Calibri" w:hAnsi="Calibri" w:cs="Calibri"/>
          <w:color w:val="000000" w:themeColor="text1"/>
        </w:rPr>
      </w:pPr>
      <w:r w:rsidRPr="001270F1">
        <w:rPr>
          <w:rFonts w:ascii="Calibri" w:hAnsi="Calibri" w:cs="Calibri"/>
          <w:color w:val="000000" w:themeColor="text1"/>
        </w:rPr>
        <w:t xml:space="preserve">Bearden, S. (2016) </w:t>
      </w:r>
      <w:r w:rsidRPr="001270F1">
        <w:rPr>
          <w:rFonts w:ascii="Calibri" w:hAnsi="Calibri" w:cs="Calibri"/>
          <w:i/>
          <w:iCs/>
          <w:color w:val="000000" w:themeColor="text1"/>
        </w:rPr>
        <w:t>Digital Citizenship: A Community-Based Approach.</w:t>
      </w:r>
      <w:r w:rsidRPr="001270F1">
        <w:rPr>
          <w:rFonts w:ascii="Calibri" w:hAnsi="Calibri" w:cs="Calibri"/>
          <w:color w:val="000000" w:themeColor="text1"/>
        </w:rPr>
        <w:t xml:space="preserve"> Thousand Oaks: Corwin.</w:t>
      </w:r>
    </w:p>
    <w:p w14:paraId="6EEBCDD8" w14:textId="77777777" w:rsidR="00906392" w:rsidRPr="001270F1" w:rsidRDefault="00906392" w:rsidP="00665090">
      <w:pPr>
        <w:snapToGrid w:val="0"/>
        <w:spacing w:before="120" w:after="120"/>
        <w:ind w:left="720" w:hanging="720"/>
        <w:rPr>
          <w:rFonts w:ascii="Calibri" w:hAnsi="Calibri" w:cs="Calibri"/>
          <w:bCs/>
          <w:color w:val="000000" w:themeColor="text1"/>
        </w:rPr>
      </w:pPr>
      <w:r w:rsidRPr="001270F1">
        <w:rPr>
          <w:rFonts w:ascii="Calibri" w:hAnsi="Calibri" w:cs="Calibri"/>
          <w:bCs/>
          <w:color w:val="000000" w:themeColor="text1"/>
        </w:rPr>
        <w:t>Camilleri, J. F. (2019). DiLoreto Initiative to Apply the U.N. Sustainable Development Goals to Institutions of Higher Education (Master Thesis)</w:t>
      </w:r>
    </w:p>
    <w:p w14:paraId="28EC471A" w14:textId="77777777" w:rsidR="00570259" w:rsidRPr="001270F1" w:rsidRDefault="00570259" w:rsidP="00665090">
      <w:pPr>
        <w:pStyle w:val="NormalWeb"/>
        <w:snapToGrid w:val="0"/>
        <w:spacing w:before="120" w:beforeAutospacing="0" w:after="120" w:afterAutospacing="0"/>
        <w:ind w:left="450" w:hanging="450"/>
        <w:rPr>
          <w:rFonts w:ascii="Calibri" w:hAnsi="Calibri" w:cs="Calibri"/>
          <w:color w:val="000000" w:themeColor="text1"/>
          <w:lang w:val="en-US"/>
        </w:rPr>
      </w:pPr>
      <w:r w:rsidRPr="001270F1">
        <w:rPr>
          <w:rFonts w:ascii="Calibri" w:hAnsi="Calibri" w:cs="Calibri"/>
          <w:color w:val="000000" w:themeColor="text1"/>
          <w:lang w:val="en-US"/>
        </w:rPr>
        <w:t>Charity Water. Retrieved 5 July 2020, from https://www.muslimglobalrelief.org/water/</w:t>
      </w:r>
    </w:p>
    <w:p w14:paraId="0B708B43" w14:textId="77777777" w:rsidR="00570259" w:rsidRPr="001270F1" w:rsidRDefault="00570259" w:rsidP="00665090">
      <w:pPr>
        <w:pStyle w:val="NormalWeb"/>
        <w:snapToGrid w:val="0"/>
        <w:spacing w:before="120" w:beforeAutospacing="0" w:after="120" w:afterAutospacing="0"/>
        <w:ind w:left="450" w:hanging="450"/>
        <w:rPr>
          <w:rFonts w:ascii="Calibri" w:hAnsi="Calibri" w:cs="Calibri"/>
          <w:color w:val="000000" w:themeColor="text1"/>
          <w:lang w:val="en-US"/>
        </w:rPr>
      </w:pPr>
      <w:r w:rsidRPr="001270F1">
        <w:rPr>
          <w:rFonts w:ascii="Calibri" w:hAnsi="Calibri" w:cs="Calibri"/>
          <w:color w:val="000000" w:themeColor="text1"/>
          <w:lang w:val="en-US"/>
        </w:rPr>
        <w:t>Climate Champions. Retrieved 5 July 2020, from https://www.islamic-relief.org/climate-champions-islamic-reliefs-global-climate-action/</w:t>
      </w:r>
    </w:p>
    <w:p w14:paraId="55078AC4" w14:textId="77777777" w:rsidR="00906392" w:rsidRPr="001270F1" w:rsidRDefault="00906392" w:rsidP="00665090">
      <w:pPr>
        <w:snapToGrid w:val="0"/>
        <w:spacing w:before="120" w:after="120"/>
        <w:ind w:left="720" w:hanging="720"/>
        <w:rPr>
          <w:rFonts w:ascii="Calibri" w:hAnsi="Calibri" w:cs="Calibri"/>
          <w:color w:val="000000" w:themeColor="text1"/>
        </w:rPr>
      </w:pPr>
      <w:r w:rsidRPr="001270F1">
        <w:rPr>
          <w:rFonts w:ascii="Calibri" w:hAnsi="Calibri" w:cs="Calibri"/>
          <w:color w:val="000000" w:themeColor="text1"/>
        </w:rPr>
        <w:t xml:space="preserve">Comyn, P. J. (2018). Skills, employability and lifelong learning in the Sustainable Development Goals and the 2030 </w:t>
      </w:r>
      <w:proofErr w:type="spellStart"/>
      <w:r w:rsidRPr="001270F1">
        <w:rPr>
          <w:rFonts w:ascii="Calibri" w:hAnsi="Calibri" w:cs="Calibri"/>
          <w:color w:val="000000" w:themeColor="text1"/>
        </w:rPr>
        <w:t>labour</w:t>
      </w:r>
      <w:proofErr w:type="spellEnd"/>
      <w:r w:rsidRPr="001270F1">
        <w:rPr>
          <w:rFonts w:ascii="Calibri" w:hAnsi="Calibri" w:cs="Calibri"/>
          <w:color w:val="000000" w:themeColor="text1"/>
        </w:rPr>
        <w:t xml:space="preserve"> market. </w:t>
      </w:r>
      <w:r w:rsidRPr="001270F1">
        <w:rPr>
          <w:rFonts w:ascii="Calibri" w:hAnsi="Calibri" w:cs="Calibri"/>
          <w:i/>
          <w:iCs/>
          <w:color w:val="000000" w:themeColor="text1"/>
        </w:rPr>
        <w:t>International Journal of Training Research, 16</w:t>
      </w:r>
      <w:r w:rsidRPr="001270F1">
        <w:rPr>
          <w:rFonts w:ascii="Calibri" w:hAnsi="Calibri" w:cs="Calibri"/>
          <w:color w:val="000000" w:themeColor="text1"/>
        </w:rPr>
        <w:t xml:space="preserve">(3), 200-217. </w:t>
      </w:r>
      <w:proofErr w:type="spellStart"/>
      <w:r w:rsidRPr="001270F1">
        <w:rPr>
          <w:rFonts w:ascii="Calibri" w:hAnsi="Calibri" w:cs="Calibri"/>
          <w:color w:val="000000" w:themeColor="text1"/>
        </w:rPr>
        <w:t>doi</w:t>
      </w:r>
      <w:proofErr w:type="spellEnd"/>
      <w:r w:rsidRPr="001270F1">
        <w:rPr>
          <w:rFonts w:ascii="Calibri" w:hAnsi="Calibri" w:cs="Calibri"/>
          <w:color w:val="000000" w:themeColor="text1"/>
        </w:rPr>
        <w:t>: 10.1080/14480220.2018.1576311</w:t>
      </w:r>
    </w:p>
    <w:p w14:paraId="5AC1C92A" w14:textId="77777777" w:rsidR="00906392" w:rsidRPr="001270F1" w:rsidRDefault="00906392" w:rsidP="00665090">
      <w:pPr>
        <w:snapToGrid w:val="0"/>
        <w:spacing w:before="120" w:after="120"/>
        <w:ind w:left="720" w:hanging="720"/>
        <w:rPr>
          <w:rFonts w:ascii="Calibri" w:hAnsi="Calibri" w:cs="Calibri"/>
          <w:color w:val="000000" w:themeColor="text1"/>
        </w:rPr>
      </w:pPr>
      <w:r w:rsidRPr="001270F1">
        <w:rPr>
          <w:rFonts w:ascii="Calibri" w:hAnsi="Calibri" w:cs="Calibri"/>
          <w:color w:val="000000" w:themeColor="text1"/>
        </w:rPr>
        <w:t xml:space="preserve">Damiani, V. (2018). Introducing Global Citizenship Education into Classroom Practice: A Study on Italian 8th Grade Students. </w:t>
      </w:r>
      <w:r w:rsidRPr="001270F1">
        <w:rPr>
          <w:rFonts w:ascii="Calibri" w:hAnsi="Calibri" w:cs="Calibri"/>
          <w:i/>
          <w:color w:val="000000" w:themeColor="text1"/>
        </w:rPr>
        <w:t>CEPS Journal</w:t>
      </w:r>
      <w:r w:rsidRPr="001270F1">
        <w:rPr>
          <w:rFonts w:ascii="Calibri" w:hAnsi="Calibri" w:cs="Calibri"/>
          <w:color w:val="000000" w:themeColor="text1"/>
        </w:rPr>
        <w:t xml:space="preserve">, 8(3), 165-186. </w:t>
      </w:r>
    </w:p>
    <w:p w14:paraId="574F35A2" w14:textId="77777777" w:rsidR="00906392" w:rsidRPr="001270F1" w:rsidRDefault="00906392" w:rsidP="00665090">
      <w:pPr>
        <w:snapToGrid w:val="0"/>
        <w:spacing w:before="120" w:after="120"/>
        <w:ind w:left="720" w:hanging="720"/>
        <w:rPr>
          <w:rFonts w:ascii="Calibri" w:hAnsi="Calibri" w:cs="Calibri"/>
          <w:color w:val="000000" w:themeColor="text1"/>
        </w:rPr>
      </w:pPr>
      <w:r w:rsidRPr="001270F1">
        <w:rPr>
          <w:rFonts w:ascii="Calibri" w:hAnsi="Calibri" w:cs="Calibri"/>
          <w:color w:val="000000" w:themeColor="text1"/>
        </w:rPr>
        <w:lastRenderedPageBreak/>
        <w:t xml:space="preserve">Davies, L. (2008). Interruptive democracy in education. In J. </w:t>
      </w:r>
      <w:proofErr w:type="spellStart"/>
      <w:r w:rsidRPr="001270F1">
        <w:rPr>
          <w:rFonts w:ascii="Calibri" w:hAnsi="Calibri" w:cs="Calibri"/>
          <w:color w:val="000000" w:themeColor="text1"/>
        </w:rPr>
        <w:t>Zahjda</w:t>
      </w:r>
      <w:proofErr w:type="spellEnd"/>
      <w:r w:rsidRPr="001270F1">
        <w:rPr>
          <w:rFonts w:ascii="Calibri" w:hAnsi="Calibri" w:cs="Calibri"/>
          <w:color w:val="000000" w:themeColor="text1"/>
        </w:rPr>
        <w:t xml:space="preserve">, L. Davies, &amp; S. </w:t>
      </w:r>
      <w:proofErr w:type="spellStart"/>
      <w:r w:rsidRPr="001270F1">
        <w:rPr>
          <w:rFonts w:ascii="Calibri" w:hAnsi="Calibri" w:cs="Calibri"/>
          <w:color w:val="000000" w:themeColor="text1"/>
        </w:rPr>
        <w:t>Majhanovich</w:t>
      </w:r>
      <w:proofErr w:type="spellEnd"/>
      <w:r w:rsidRPr="001270F1">
        <w:rPr>
          <w:rFonts w:ascii="Calibri" w:hAnsi="Calibri" w:cs="Calibri"/>
          <w:color w:val="000000" w:themeColor="text1"/>
        </w:rPr>
        <w:t xml:space="preserve"> (Eds.), </w:t>
      </w:r>
      <w:r w:rsidRPr="001270F1">
        <w:rPr>
          <w:rFonts w:ascii="Calibri" w:hAnsi="Calibri" w:cs="Calibri"/>
          <w:i/>
          <w:iCs/>
          <w:color w:val="000000" w:themeColor="text1"/>
        </w:rPr>
        <w:t xml:space="preserve">Comparative and global </w:t>
      </w:r>
      <w:proofErr w:type="spellStart"/>
      <w:r w:rsidRPr="001270F1">
        <w:rPr>
          <w:rFonts w:ascii="Calibri" w:hAnsi="Calibri" w:cs="Calibri"/>
          <w:i/>
          <w:iCs/>
          <w:color w:val="000000" w:themeColor="text1"/>
        </w:rPr>
        <w:t>pegagogies</w:t>
      </w:r>
      <w:proofErr w:type="spellEnd"/>
      <w:r w:rsidRPr="001270F1">
        <w:rPr>
          <w:rFonts w:ascii="Calibri" w:hAnsi="Calibri" w:cs="Calibri"/>
          <w:i/>
          <w:iCs/>
          <w:color w:val="000000" w:themeColor="text1"/>
        </w:rPr>
        <w:t xml:space="preserve">: Equity, access and democracy in education </w:t>
      </w:r>
      <w:r w:rsidRPr="001270F1">
        <w:rPr>
          <w:rFonts w:ascii="Calibri" w:hAnsi="Calibri" w:cs="Calibri"/>
          <w:color w:val="000000" w:themeColor="text1"/>
        </w:rPr>
        <w:t xml:space="preserve">(pp. 15–33). Dordrecht, The Netherlands: Springer. </w:t>
      </w:r>
    </w:p>
    <w:p w14:paraId="779B4282" w14:textId="77777777" w:rsidR="00570259" w:rsidRPr="001270F1" w:rsidRDefault="00570259" w:rsidP="00665090">
      <w:pPr>
        <w:pStyle w:val="NormalWeb"/>
        <w:snapToGrid w:val="0"/>
        <w:spacing w:before="120" w:beforeAutospacing="0" w:after="120" w:afterAutospacing="0"/>
        <w:ind w:left="450" w:hanging="450"/>
        <w:rPr>
          <w:rFonts w:ascii="Calibri" w:hAnsi="Calibri" w:cs="Calibri"/>
          <w:color w:val="000000" w:themeColor="text1"/>
          <w:lang w:val="en-US"/>
        </w:rPr>
      </w:pPr>
      <w:r w:rsidRPr="001270F1">
        <w:rPr>
          <w:rFonts w:ascii="Calibri" w:hAnsi="Calibri" w:cs="Calibri"/>
          <w:color w:val="000000" w:themeColor="text1"/>
          <w:lang w:val="en-US"/>
        </w:rPr>
        <w:t>Education Forever. Retrieved 5 July 2020, from https://www.muslimaid.org/appeals/education-forever/</w:t>
      </w:r>
    </w:p>
    <w:p w14:paraId="1A5365C6" w14:textId="77777777" w:rsidR="00570259" w:rsidRPr="001270F1" w:rsidRDefault="00570259" w:rsidP="00665090">
      <w:pPr>
        <w:pStyle w:val="NormalWeb"/>
        <w:snapToGrid w:val="0"/>
        <w:spacing w:before="120" w:beforeAutospacing="0" w:after="120" w:afterAutospacing="0"/>
        <w:ind w:left="450" w:hanging="450"/>
        <w:rPr>
          <w:rFonts w:ascii="Calibri" w:hAnsi="Calibri" w:cs="Calibri"/>
          <w:color w:val="000000" w:themeColor="text1"/>
          <w:lang w:val="en-US"/>
        </w:rPr>
      </w:pPr>
      <w:r w:rsidRPr="001270F1">
        <w:rPr>
          <w:rFonts w:ascii="Calibri" w:hAnsi="Calibri" w:cs="Calibri"/>
          <w:color w:val="000000" w:themeColor="text1"/>
          <w:lang w:val="en-US"/>
        </w:rPr>
        <w:t>Figures at a Glance. (2019). Retrieved 5 July 2020, from https://www.unhcr.org/figures-at-a-glance.html.</w:t>
      </w:r>
    </w:p>
    <w:p w14:paraId="0C7409D1" w14:textId="77777777" w:rsidR="00570259" w:rsidRPr="001270F1" w:rsidRDefault="00570259" w:rsidP="00665090">
      <w:pPr>
        <w:pStyle w:val="NormalWeb"/>
        <w:snapToGrid w:val="0"/>
        <w:spacing w:before="120" w:beforeAutospacing="0" w:after="120" w:afterAutospacing="0"/>
        <w:ind w:left="450" w:hanging="450"/>
        <w:rPr>
          <w:rFonts w:ascii="Calibri" w:hAnsi="Calibri" w:cs="Calibri"/>
          <w:color w:val="000000" w:themeColor="text1"/>
          <w:lang w:val="en-US"/>
        </w:rPr>
      </w:pPr>
      <w:r w:rsidRPr="001270F1">
        <w:rPr>
          <w:rFonts w:ascii="Calibri" w:hAnsi="Calibri" w:cs="Calibri"/>
          <w:color w:val="000000" w:themeColor="text1"/>
          <w:lang w:val="en-US"/>
        </w:rPr>
        <w:t xml:space="preserve">Fintech, a global boost for Islamic </w:t>
      </w:r>
      <w:proofErr w:type="gramStart"/>
      <w:r w:rsidRPr="001270F1">
        <w:rPr>
          <w:rFonts w:ascii="Calibri" w:hAnsi="Calibri" w:cs="Calibri"/>
          <w:color w:val="000000" w:themeColor="text1"/>
          <w:lang w:val="en-US"/>
        </w:rPr>
        <w:t>Finance?.</w:t>
      </w:r>
      <w:proofErr w:type="gramEnd"/>
      <w:r w:rsidRPr="001270F1">
        <w:rPr>
          <w:rFonts w:ascii="Calibri" w:hAnsi="Calibri" w:cs="Calibri"/>
          <w:color w:val="000000" w:themeColor="text1"/>
          <w:lang w:val="en-US"/>
        </w:rPr>
        <w:t xml:space="preserve"> (2018). Retrieved 5 July 2020, from https://www.reuters.com/sponsored/article/Fintech-a-global-boost-for-Islamic-Finance</w:t>
      </w:r>
    </w:p>
    <w:p w14:paraId="1113C2AB" w14:textId="77777777" w:rsidR="00906392" w:rsidRPr="001270F1" w:rsidRDefault="00906392" w:rsidP="00665090">
      <w:pPr>
        <w:snapToGrid w:val="0"/>
        <w:spacing w:before="120" w:after="120"/>
        <w:ind w:left="720" w:hanging="720"/>
        <w:rPr>
          <w:rFonts w:ascii="Calibri" w:hAnsi="Calibri" w:cs="Calibri"/>
          <w:bCs/>
          <w:color w:val="000000" w:themeColor="text1"/>
        </w:rPr>
      </w:pPr>
      <w:r w:rsidRPr="001270F1">
        <w:rPr>
          <w:rFonts w:ascii="Calibri" w:hAnsi="Calibri" w:cs="Calibri"/>
          <w:bCs/>
          <w:color w:val="000000" w:themeColor="text1"/>
        </w:rPr>
        <w:t>Frazier, L. (2018). Well-care in Tondo’s Slums: Women-Driven Vocational Learning Knowledge Hubs Toward 2030’s Sustainable Development Goals.</w:t>
      </w:r>
      <w:r w:rsidRPr="001270F1">
        <w:rPr>
          <w:rFonts w:ascii="Calibri" w:hAnsi="Calibri" w:cs="Calibri"/>
          <w:bCs/>
          <w:i/>
          <w:color w:val="000000" w:themeColor="text1"/>
        </w:rPr>
        <w:t xml:space="preserve"> Innovation of Vocational Technology Education, 14</w:t>
      </w:r>
      <w:r w:rsidRPr="001270F1">
        <w:rPr>
          <w:rFonts w:ascii="Calibri" w:hAnsi="Calibri" w:cs="Calibri"/>
          <w:bCs/>
          <w:color w:val="000000" w:themeColor="text1"/>
        </w:rPr>
        <w:t xml:space="preserve">(2), 91-97. </w:t>
      </w:r>
      <w:proofErr w:type="spellStart"/>
      <w:r w:rsidRPr="001270F1">
        <w:rPr>
          <w:rFonts w:ascii="Calibri" w:hAnsi="Calibri" w:cs="Calibri"/>
          <w:bCs/>
          <w:color w:val="000000" w:themeColor="text1"/>
        </w:rPr>
        <w:t>doi</w:t>
      </w:r>
      <w:proofErr w:type="spellEnd"/>
      <w:r w:rsidRPr="001270F1">
        <w:rPr>
          <w:rFonts w:ascii="Calibri" w:hAnsi="Calibri" w:cs="Calibri"/>
          <w:bCs/>
          <w:color w:val="000000" w:themeColor="text1"/>
        </w:rPr>
        <w:t>: 10.17509/</w:t>
      </w:r>
      <w:proofErr w:type="gramStart"/>
      <w:r w:rsidRPr="001270F1">
        <w:rPr>
          <w:rFonts w:ascii="Calibri" w:hAnsi="Calibri" w:cs="Calibri"/>
          <w:bCs/>
          <w:color w:val="000000" w:themeColor="text1"/>
        </w:rPr>
        <w:t>invotec.v</w:t>
      </w:r>
      <w:proofErr w:type="gramEnd"/>
      <w:r w:rsidRPr="001270F1">
        <w:rPr>
          <w:rFonts w:ascii="Calibri" w:hAnsi="Calibri" w:cs="Calibri"/>
          <w:bCs/>
          <w:color w:val="000000" w:themeColor="text1"/>
        </w:rPr>
        <w:t>14i2.14361</w:t>
      </w:r>
    </w:p>
    <w:p w14:paraId="66474AEE" w14:textId="77777777" w:rsidR="00906392" w:rsidRPr="001270F1" w:rsidRDefault="00906392" w:rsidP="00665090">
      <w:pPr>
        <w:snapToGrid w:val="0"/>
        <w:spacing w:before="120" w:after="120"/>
        <w:ind w:left="720" w:hanging="720"/>
        <w:rPr>
          <w:rFonts w:ascii="Calibri" w:hAnsi="Calibri" w:cs="Calibri"/>
          <w:bCs/>
          <w:color w:val="000000" w:themeColor="text1"/>
        </w:rPr>
      </w:pPr>
      <w:r w:rsidRPr="001270F1">
        <w:rPr>
          <w:rFonts w:ascii="Calibri" w:hAnsi="Calibri" w:cs="Calibri"/>
          <w:bCs/>
          <w:color w:val="000000" w:themeColor="text1"/>
        </w:rPr>
        <w:t>Ghosn-</w:t>
      </w:r>
      <w:proofErr w:type="spellStart"/>
      <w:r w:rsidRPr="001270F1">
        <w:rPr>
          <w:rFonts w:ascii="Calibri" w:hAnsi="Calibri" w:cs="Calibri"/>
          <w:bCs/>
          <w:color w:val="000000" w:themeColor="text1"/>
        </w:rPr>
        <w:t>Chelala</w:t>
      </w:r>
      <w:proofErr w:type="spellEnd"/>
      <w:r w:rsidRPr="001270F1">
        <w:rPr>
          <w:rFonts w:ascii="Calibri" w:hAnsi="Calibri" w:cs="Calibri"/>
          <w:bCs/>
          <w:color w:val="000000" w:themeColor="text1"/>
        </w:rPr>
        <w:t xml:space="preserve"> 2019 Ghosn-</w:t>
      </w:r>
      <w:proofErr w:type="spellStart"/>
      <w:r w:rsidRPr="001270F1">
        <w:rPr>
          <w:rFonts w:ascii="Calibri" w:hAnsi="Calibri" w:cs="Calibri"/>
          <w:bCs/>
          <w:color w:val="000000" w:themeColor="text1"/>
        </w:rPr>
        <w:t>Chelala</w:t>
      </w:r>
      <w:proofErr w:type="spellEnd"/>
      <w:r w:rsidRPr="001270F1">
        <w:rPr>
          <w:rFonts w:ascii="Calibri" w:hAnsi="Calibri" w:cs="Calibri"/>
          <w:bCs/>
          <w:color w:val="000000" w:themeColor="text1"/>
        </w:rPr>
        <w:t xml:space="preserve">, M. (2018). Exploring sustainable learning and practice of digital citizenship: Education and place-based challenges. </w:t>
      </w:r>
      <w:r w:rsidRPr="001270F1">
        <w:rPr>
          <w:rFonts w:ascii="Calibri" w:hAnsi="Calibri" w:cs="Calibri"/>
          <w:bCs/>
          <w:i/>
          <w:iCs/>
          <w:color w:val="000000" w:themeColor="text1"/>
        </w:rPr>
        <w:t>Education, Citizenship and Social Justice, 14</w:t>
      </w:r>
      <w:r w:rsidRPr="001270F1">
        <w:rPr>
          <w:rFonts w:ascii="Calibri" w:hAnsi="Calibri" w:cs="Calibri"/>
          <w:bCs/>
          <w:color w:val="000000" w:themeColor="text1"/>
        </w:rPr>
        <w:t xml:space="preserve">(1), 40–56. </w:t>
      </w:r>
      <w:proofErr w:type="spellStart"/>
      <w:r w:rsidRPr="001270F1">
        <w:rPr>
          <w:rFonts w:ascii="Calibri" w:hAnsi="Calibri" w:cs="Calibri"/>
          <w:bCs/>
          <w:color w:val="000000" w:themeColor="text1"/>
        </w:rPr>
        <w:t>doi</w:t>
      </w:r>
      <w:proofErr w:type="spellEnd"/>
      <w:r w:rsidRPr="001270F1">
        <w:rPr>
          <w:rFonts w:ascii="Calibri" w:hAnsi="Calibri" w:cs="Calibri"/>
          <w:bCs/>
          <w:color w:val="000000" w:themeColor="text1"/>
        </w:rPr>
        <w:t>: 10.1177/1746197918759155</w:t>
      </w:r>
    </w:p>
    <w:p w14:paraId="2BDC8713" w14:textId="77777777" w:rsidR="00906392" w:rsidRPr="00906392" w:rsidRDefault="00906392" w:rsidP="00906392">
      <w:pPr>
        <w:snapToGrid w:val="0"/>
        <w:spacing w:before="120" w:after="120"/>
        <w:ind w:left="720" w:hanging="720"/>
        <w:rPr>
          <w:rFonts w:ascii="Calibri" w:eastAsiaTheme="minorHAnsi" w:hAnsi="Calibri" w:cs="Calibri"/>
          <w:color w:val="000000" w:themeColor="text1"/>
          <w:lang w:eastAsia="en-US"/>
        </w:rPr>
      </w:pPr>
      <w:r w:rsidRPr="00906392">
        <w:rPr>
          <w:rFonts w:ascii="Calibri" w:eastAsiaTheme="minorHAnsi" w:hAnsi="Calibri" w:cs="Calibri"/>
          <w:color w:val="000000" w:themeColor="text1"/>
          <w:lang w:eastAsia="en-US"/>
        </w:rPr>
        <w:t xml:space="preserve">GIFR, (2012). Global Islamic Finance Report (2012), Global Islamic Microfinance landscape. </w:t>
      </w:r>
    </w:p>
    <w:p w14:paraId="5AA942D5" w14:textId="59C5AE1A" w:rsidR="00570259" w:rsidRPr="001270F1" w:rsidRDefault="00570259" w:rsidP="00665090">
      <w:pPr>
        <w:pStyle w:val="NormalWeb"/>
        <w:snapToGrid w:val="0"/>
        <w:spacing w:before="120" w:beforeAutospacing="0" w:after="120" w:afterAutospacing="0"/>
        <w:ind w:left="450" w:hanging="450"/>
        <w:rPr>
          <w:rFonts w:ascii="Calibri" w:hAnsi="Calibri" w:cs="Calibri"/>
          <w:color w:val="000000" w:themeColor="text1"/>
          <w:lang w:val="en-US"/>
        </w:rPr>
      </w:pPr>
      <w:r w:rsidRPr="001270F1">
        <w:rPr>
          <w:rFonts w:ascii="Calibri" w:hAnsi="Calibri" w:cs="Calibri"/>
          <w:color w:val="000000" w:themeColor="text1"/>
          <w:lang w:val="en-US"/>
        </w:rPr>
        <w:t>IRTI. (2015). </w:t>
      </w:r>
      <w:r w:rsidRPr="001270F1">
        <w:rPr>
          <w:rFonts w:ascii="Calibri" w:hAnsi="Calibri" w:cs="Calibri"/>
          <w:i/>
          <w:iCs/>
          <w:color w:val="000000" w:themeColor="text1"/>
          <w:lang w:val="en-US"/>
        </w:rPr>
        <w:t>Islamic Social Finance Report</w:t>
      </w:r>
      <w:r w:rsidRPr="001270F1">
        <w:rPr>
          <w:rFonts w:ascii="Calibri" w:hAnsi="Calibri" w:cs="Calibri"/>
          <w:color w:val="000000" w:themeColor="text1"/>
          <w:lang w:val="en-US"/>
        </w:rPr>
        <w:t>. IRTI. Retrieved from https://irti.org/product/islamic-social-finance-report-1436h-2015/</w:t>
      </w:r>
    </w:p>
    <w:p w14:paraId="5A3B0C79" w14:textId="77777777" w:rsidR="00906392" w:rsidRPr="001270F1" w:rsidRDefault="00906392" w:rsidP="00665090">
      <w:pPr>
        <w:snapToGrid w:val="0"/>
        <w:spacing w:before="120" w:after="120"/>
        <w:ind w:left="720" w:hanging="720"/>
        <w:rPr>
          <w:rFonts w:ascii="Calibri" w:hAnsi="Calibri" w:cs="Calibri"/>
          <w:color w:val="000000" w:themeColor="text1"/>
        </w:rPr>
      </w:pPr>
      <w:r w:rsidRPr="001270F1">
        <w:rPr>
          <w:rFonts w:ascii="Calibri" w:hAnsi="Calibri" w:cs="Calibri"/>
          <w:color w:val="000000" w:themeColor="text1"/>
        </w:rPr>
        <w:t xml:space="preserve">Ibrahim, T. (2005). Global citizenship education: mainstreaming the curriculum? </w:t>
      </w:r>
      <w:r w:rsidRPr="001270F1">
        <w:rPr>
          <w:rFonts w:ascii="Calibri" w:hAnsi="Calibri" w:cs="Calibri"/>
          <w:i/>
          <w:iCs/>
          <w:color w:val="000000" w:themeColor="text1"/>
        </w:rPr>
        <w:t>Journal of Curriculum Studies</w:t>
      </w:r>
      <w:r w:rsidRPr="001270F1">
        <w:rPr>
          <w:rFonts w:ascii="Calibri" w:hAnsi="Calibri" w:cs="Calibri"/>
          <w:color w:val="000000" w:themeColor="text1"/>
        </w:rPr>
        <w:t xml:space="preserve">, </w:t>
      </w:r>
      <w:r w:rsidRPr="001270F1">
        <w:rPr>
          <w:rFonts w:ascii="Calibri" w:hAnsi="Calibri" w:cs="Calibri"/>
          <w:i/>
          <w:iCs/>
          <w:color w:val="000000" w:themeColor="text1"/>
        </w:rPr>
        <w:t>35</w:t>
      </w:r>
      <w:r w:rsidRPr="001270F1">
        <w:rPr>
          <w:rFonts w:ascii="Calibri" w:hAnsi="Calibri" w:cs="Calibri"/>
          <w:color w:val="000000" w:themeColor="text1"/>
        </w:rPr>
        <w:t>(2), 177–194.</w:t>
      </w:r>
    </w:p>
    <w:p w14:paraId="2A75D027" w14:textId="77777777" w:rsidR="00570259" w:rsidRPr="001270F1" w:rsidRDefault="00570259" w:rsidP="00665090">
      <w:pPr>
        <w:pStyle w:val="NormalWeb"/>
        <w:snapToGrid w:val="0"/>
        <w:spacing w:before="120" w:beforeAutospacing="0" w:after="120" w:afterAutospacing="0"/>
        <w:ind w:left="450" w:hanging="450"/>
        <w:rPr>
          <w:rFonts w:ascii="Calibri" w:hAnsi="Calibri" w:cs="Calibri"/>
          <w:color w:val="000000" w:themeColor="text1"/>
          <w:lang w:val="en-US"/>
        </w:rPr>
      </w:pPr>
      <w:r w:rsidRPr="001270F1">
        <w:rPr>
          <w:rFonts w:ascii="Calibri" w:hAnsi="Calibri" w:cs="Calibri"/>
          <w:color w:val="000000" w:themeColor="text1"/>
          <w:lang w:val="en-US"/>
        </w:rPr>
        <w:t>Islamic Relief. (2019). </w:t>
      </w:r>
      <w:r w:rsidRPr="001270F1">
        <w:rPr>
          <w:rFonts w:ascii="Calibri" w:hAnsi="Calibri" w:cs="Calibri"/>
          <w:i/>
          <w:iCs/>
          <w:color w:val="000000" w:themeColor="text1"/>
          <w:lang w:val="en-US"/>
        </w:rPr>
        <w:t>Islamic Relief Worldwide Annual Report 2018</w:t>
      </w:r>
      <w:r w:rsidRPr="001270F1">
        <w:rPr>
          <w:rFonts w:ascii="Calibri" w:hAnsi="Calibri" w:cs="Calibri"/>
          <w:color w:val="000000" w:themeColor="text1"/>
          <w:lang w:val="en-US"/>
        </w:rPr>
        <w:t> (pp. https://www.islamic-relief.org/wp-content/uploads/2019/07/IslamicReliefWorld-AnnualReportandFinancialStatements-2018.pdf). Islamic Relief.</w:t>
      </w:r>
    </w:p>
    <w:p w14:paraId="73EC9302" w14:textId="77777777" w:rsidR="00906392" w:rsidRPr="001270F1" w:rsidRDefault="00906392" w:rsidP="00665090">
      <w:pPr>
        <w:snapToGrid w:val="0"/>
        <w:spacing w:before="120" w:after="120"/>
        <w:ind w:left="720" w:hanging="720"/>
        <w:rPr>
          <w:rFonts w:ascii="Calibri" w:hAnsi="Calibri" w:cs="Calibri"/>
          <w:color w:val="000000" w:themeColor="text1"/>
        </w:rPr>
      </w:pPr>
      <w:r w:rsidRPr="001270F1">
        <w:rPr>
          <w:rFonts w:ascii="Calibri" w:hAnsi="Calibri" w:cs="Calibri"/>
          <w:color w:val="000000" w:themeColor="text1"/>
        </w:rPr>
        <w:t xml:space="preserve">Isin, E. and Ruppert, E. (2015) </w:t>
      </w:r>
      <w:r w:rsidRPr="001270F1">
        <w:rPr>
          <w:rFonts w:ascii="Calibri" w:hAnsi="Calibri" w:cs="Calibri"/>
          <w:i/>
          <w:iCs/>
          <w:color w:val="000000" w:themeColor="text1"/>
        </w:rPr>
        <w:t>Being Digital Citizens.</w:t>
      </w:r>
      <w:r w:rsidRPr="001270F1">
        <w:rPr>
          <w:rFonts w:ascii="Calibri" w:hAnsi="Calibri" w:cs="Calibri"/>
          <w:color w:val="000000" w:themeColor="text1"/>
        </w:rPr>
        <w:t xml:space="preserve"> London: Rowman &amp; Littlefield.</w:t>
      </w:r>
    </w:p>
    <w:p w14:paraId="43CCD509" w14:textId="77777777" w:rsidR="00906392" w:rsidRPr="001270F1" w:rsidRDefault="00906392" w:rsidP="00665090">
      <w:pPr>
        <w:snapToGrid w:val="0"/>
        <w:spacing w:before="120" w:after="120"/>
        <w:ind w:left="720" w:hanging="720"/>
        <w:rPr>
          <w:rFonts w:ascii="Calibri" w:hAnsi="Calibri" w:cs="Calibri"/>
          <w:color w:val="000000" w:themeColor="text1"/>
        </w:rPr>
      </w:pPr>
      <w:r w:rsidRPr="001270F1">
        <w:rPr>
          <w:rFonts w:ascii="Calibri" w:hAnsi="Calibri" w:cs="Calibri"/>
          <w:color w:val="000000" w:themeColor="text1"/>
        </w:rPr>
        <w:t xml:space="preserve">Marquis, </w:t>
      </w:r>
      <w:proofErr w:type="spellStart"/>
      <w:r w:rsidRPr="001270F1">
        <w:rPr>
          <w:rFonts w:ascii="Calibri" w:hAnsi="Calibri" w:cs="Calibri"/>
          <w:color w:val="000000" w:themeColor="text1"/>
        </w:rPr>
        <w:t>Redda</w:t>
      </w:r>
      <w:proofErr w:type="spellEnd"/>
      <w:r w:rsidRPr="001270F1">
        <w:rPr>
          <w:rFonts w:ascii="Calibri" w:hAnsi="Calibri" w:cs="Calibri"/>
          <w:color w:val="000000" w:themeColor="text1"/>
        </w:rPr>
        <w:t xml:space="preserve">, and </w:t>
      </w:r>
      <w:proofErr w:type="spellStart"/>
      <w:r w:rsidRPr="001270F1">
        <w:rPr>
          <w:rFonts w:ascii="Calibri" w:hAnsi="Calibri" w:cs="Calibri"/>
          <w:color w:val="000000" w:themeColor="text1"/>
        </w:rPr>
        <w:t>Twells</w:t>
      </w:r>
      <w:proofErr w:type="spellEnd"/>
      <w:r w:rsidRPr="001270F1">
        <w:rPr>
          <w:rFonts w:ascii="Calibri" w:hAnsi="Calibri" w:cs="Calibri"/>
          <w:color w:val="000000" w:themeColor="text1"/>
        </w:rPr>
        <w:t xml:space="preserve"> 2018 Marquis, E., </w:t>
      </w:r>
      <w:proofErr w:type="spellStart"/>
      <w:r w:rsidRPr="001270F1">
        <w:rPr>
          <w:rFonts w:ascii="Calibri" w:hAnsi="Calibri" w:cs="Calibri"/>
          <w:color w:val="000000" w:themeColor="text1"/>
        </w:rPr>
        <w:t>Redda</w:t>
      </w:r>
      <w:proofErr w:type="spellEnd"/>
      <w:r w:rsidRPr="001270F1">
        <w:rPr>
          <w:rFonts w:ascii="Calibri" w:hAnsi="Calibri" w:cs="Calibri"/>
          <w:color w:val="000000" w:themeColor="text1"/>
        </w:rPr>
        <w:t xml:space="preserve">, A., &amp; </w:t>
      </w:r>
      <w:proofErr w:type="spellStart"/>
      <w:r w:rsidRPr="001270F1">
        <w:rPr>
          <w:rFonts w:ascii="Calibri" w:hAnsi="Calibri" w:cs="Calibri"/>
          <w:color w:val="000000" w:themeColor="text1"/>
        </w:rPr>
        <w:t>Twells</w:t>
      </w:r>
      <w:proofErr w:type="spellEnd"/>
      <w:r w:rsidRPr="001270F1">
        <w:rPr>
          <w:rFonts w:ascii="Calibri" w:hAnsi="Calibri" w:cs="Calibri"/>
          <w:color w:val="000000" w:themeColor="text1"/>
        </w:rPr>
        <w:t xml:space="preserve">, L. (2018). Navigating complexity, culture, collaboration, and emotion: student perspectives on global justice and global justice education. </w:t>
      </w:r>
      <w:r w:rsidRPr="001270F1">
        <w:rPr>
          <w:rFonts w:ascii="Calibri" w:hAnsi="Calibri" w:cs="Calibri"/>
          <w:i/>
          <w:iCs/>
          <w:color w:val="000000" w:themeColor="text1"/>
        </w:rPr>
        <w:t>Teaching in Higher Education, 23</w:t>
      </w:r>
      <w:r w:rsidRPr="001270F1">
        <w:rPr>
          <w:rFonts w:ascii="Calibri" w:hAnsi="Calibri" w:cs="Calibri"/>
          <w:color w:val="000000" w:themeColor="text1"/>
        </w:rPr>
        <w:t xml:space="preserve">(7), 853-868. </w:t>
      </w:r>
      <w:proofErr w:type="spellStart"/>
      <w:r w:rsidRPr="001270F1">
        <w:rPr>
          <w:rFonts w:ascii="Calibri" w:hAnsi="Calibri" w:cs="Calibri"/>
          <w:color w:val="000000" w:themeColor="text1"/>
        </w:rPr>
        <w:t>doi</w:t>
      </w:r>
      <w:proofErr w:type="spellEnd"/>
      <w:r w:rsidRPr="001270F1">
        <w:rPr>
          <w:rFonts w:ascii="Calibri" w:hAnsi="Calibri" w:cs="Calibri"/>
          <w:color w:val="000000" w:themeColor="text1"/>
        </w:rPr>
        <w:t>: 10.1080/13562517.2018.1437133</w:t>
      </w:r>
    </w:p>
    <w:p w14:paraId="04BF3BCB" w14:textId="77777777" w:rsidR="00570259" w:rsidRPr="001270F1" w:rsidRDefault="00570259" w:rsidP="00665090">
      <w:pPr>
        <w:pStyle w:val="NormalWeb"/>
        <w:snapToGrid w:val="0"/>
        <w:spacing w:before="120" w:beforeAutospacing="0" w:after="120" w:afterAutospacing="0"/>
        <w:ind w:left="450" w:hanging="450"/>
        <w:rPr>
          <w:rFonts w:ascii="Calibri" w:hAnsi="Calibri" w:cs="Calibri"/>
          <w:color w:val="000000" w:themeColor="text1"/>
          <w:lang w:val="en-US"/>
        </w:rPr>
      </w:pPr>
      <w:r w:rsidRPr="001270F1">
        <w:rPr>
          <w:rFonts w:ascii="Calibri" w:hAnsi="Calibri" w:cs="Calibri"/>
          <w:color w:val="000000" w:themeColor="text1"/>
          <w:lang w:val="en-US"/>
        </w:rPr>
        <w:t>Microfinance and Livelihoods. Retrieved 5 July 2020, from https://www.islamic-relief.org/category/what-we-do/microfinance-and-livelihoods/</w:t>
      </w:r>
    </w:p>
    <w:p w14:paraId="3F57A939" w14:textId="77777777" w:rsidR="00906392" w:rsidRPr="001270F1" w:rsidRDefault="00906392" w:rsidP="00665090">
      <w:pPr>
        <w:snapToGrid w:val="0"/>
        <w:spacing w:before="120" w:after="120"/>
        <w:ind w:left="720" w:hanging="720"/>
        <w:rPr>
          <w:rFonts w:ascii="Calibri" w:hAnsi="Calibri" w:cs="Calibri"/>
          <w:color w:val="000000" w:themeColor="text1"/>
        </w:rPr>
      </w:pPr>
      <w:r w:rsidRPr="001270F1">
        <w:rPr>
          <w:rFonts w:ascii="Calibri" w:hAnsi="Calibri" w:cs="Calibri"/>
          <w:color w:val="000000" w:themeColor="text1"/>
        </w:rPr>
        <w:t xml:space="preserve">Mohammadnia, Z., &amp; Moghadam, F. D. (2019). Textbooks as Resources for Education for Sustainable Development: A Content Analysis. </w:t>
      </w:r>
      <w:r w:rsidRPr="001270F1">
        <w:rPr>
          <w:rFonts w:ascii="Calibri" w:hAnsi="Calibri" w:cs="Calibri"/>
          <w:i/>
          <w:iCs/>
          <w:color w:val="000000" w:themeColor="text1"/>
        </w:rPr>
        <w:t>Journal of Teacher Education for Sustainability, 21</w:t>
      </w:r>
      <w:r w:rsidRPr="001270F1">
        <w:rPr>
          <w:rFonts w:ascii="Calibri" w:hAnsi="Calibri" w:cs="Calibri"/>
          <w:color w:val="000000" w:themeColor="text1"/>
        </w:rPr>
        <w:t xml:space="preserve">(1), 103–114. </w:t>
      </w:r>
      <w:proofErr w:type="spellStart"/>
      <w:r w:rsidRPr="001270F1">
        <w:rPr>
          <w:rFonts w:ascii="Calibri" w:hAnsi="Calibri" w:cs="Calibri"/>
          <w:color w:val="000000" w:themeColor="text1"/>
        </w:rPr>
        <w:t>doi</w:t>
      </w:r>
      <w:proofErr w:type="spellEnd"/>
      <w:r w:rsidRPr="001270F1">
        <w:rPr>
          <w:rFonts w:ascii="Calibri" w:hAnsi="Calibri" w:cs="Calibri"/>
          <w:color w:val="000000" w:themeColor="text1"/>
        </w:rPr>
        <w:t>: 10.2478/jtes-2019-0008</w:t>
      </w:r>
    </w:p>
    <w:p w14:paraId="2103CD25" w14:textId="77777777" w:rsidR="00906392" w:rsidRPr="001270F1" w:rsidRDefault="00906392" w:rsidP="00665090">
      <w:pPr>
        <w:snapToGrid w:val="0"/>
        <w:spacing w:before="120" w:after="120"/>
        <w:ind w:left="720" w:hanging="720"/>
        <w:rPr>
          <w:rFonts w:ascii="Calibri" w:hAnsi="Calibri" w:cs="Calibri"/>
          <w:color w:val="000000" w:themeColor="text1"/>
        </w:rPr>
      </w:pPr>
      <w:r w:rsidRPr="001270F1">
        <w:rPr>
          <w:rFonts w:ascii="Calibri" w:hAnsi="Calibri" w:cs="Calibri"/>
          <w:color w:val="000000" w:themeColor="text1"/>
        </w:rPr>
        <w:t xml:space="preserve">Mossberger, K., Tolbert, C. and McNeal, R. (2008) </w:t>
      </w:r>
      <w:r w:rsidRPr="001270F1">
        <w:rPr>
          <w:rFonts w:ascii="Calibri" w:hAnsi="Calibri" w:cs="Calibri"/>
          <w:i/>
          <w:iCs/>
          <w:color w:val="000000" w:themeColor="text1"/>
        </w:rPr>
        <w:t>Digital Citizenship: The Internet, Society, and Participation.</w:t>
      </w:r>
      <w:r w:rsidRPr="001270F1">
        <w:rPr>
          <w:rFonts w:ascii="Calibri" w:hAnsi="Calibri" w:cs="Calibri"/>
          <w:color w:val="000000" w:themeColor="text1"/>
        </w:rPr>
        <w:t xml:space="preserve"> Cambridge: MIT Press.</w:t>
      </w:r>
    </w:p>
    <w:p w14:paraId="702B8FB4" w14:textId="77777777" w:rsidR="00906392" w:rsidRPr="001270F1" w:rsidRDefault="00906392" w:rsidP="00665090">
      <w:pPr>
        <w:snapToGrid w:val="0"/>
        <w:spacing w:before="120" w:after="120"/>
        <w:ind w:left="720" w:hanging="720"/>
        <w:rPr>
          <w:rFonts w:ascii="Calibri" w:hAnsi="Calibri" w:cs="Calibri"/>
          <w:color w:val="000000" w:themeColor="text1"/>
        </w:rPr>
      </w:pPr>
      <w:r w:rsidRPr="001270F1">
        <w:rPr>
          <w:rFonts w:ascii="Calibri" w:hAnsi="Calibri" w:cs="Calibri"/>
          <w:color w:val="000000" w:themeColor="text1"/>
        </w:rPr>
        <w:t xml:space="preserve">Pak, S., &amp; Lee, M. (2018). Hit the ground running: Delineating the problems and potentials in State-led Global Citizenship Education (GCE) through teacher practices in South Korea. </w:t>
      </w:r>
      <w:r w:rsidRPr="001270F1">
        <w:rPr>
          <w:rFonts w:ascii="Calibri" w:hAnsi="Calibri" w:cs="Calibri"/>
          <w:i/>
          <w:iCs/>
          <w:color w:val="000000" w:themeColor="text1"/>
        </w:rPr>
        <w:t>British Journal of Educational Studies, 66</w:t>
      </w:r>
      <w:r w:rsidRPr="001270F1">
        <w:rPr>
          <w:rFonts w:ascii="Calibri" w:hAnsi="Calibri" w:cs="Calibri"/>
          <w:color w:val="000000" w:themeColor="text1"/>
        </w:rPr>
        <w:t xml:space="preserve">(4), 515-535. </w:t>
      </w:r>
      <w:proofErr w:type="spellStart"/>
      <w:r w:rsidRPr="001270F1">
        <w:rPr>
          <w:rFonts w:ascii="Calibri" w:hAnsi="Calibri" w:cs="Calibri"/>
          <w:color w:val="000000" w:themeColor="text1"/>
        </w:rPr>
        <w:t>doi</w:t>
      </w:r>
      <w:proofErr w:type="spellEnd"/>
      <w:r w:rsidRPr="001270F1">
        <w:rPr>
          <w:rFonts w:ascii="Calibri" w:hAnsi="Calibri" w:cs="Calibri"/>
          <w:color w:val="000000" w:themeColor="text1"/>
        </w:rPr>
        <w:t>: 10.1080/00071005.2018.1533101</w:t>
      </w:r>
    </w:p>
    <w:p w14:paraId="5234E71F" w14:textId="77777777" w:rsidR="00906392" w:rsidRPr="001270F1" w:rsidRDefault="00906392" w:rsidP="00665090">
      <w:pPr>
        <w:snapToGrid w:val="0"/>
        <w:spacing w:before="120" w:after="120"/>
        <w:ind w:left="720" w:hanging="720"/>
        <w:rPr>
          <w:rFonts w:ascii="Calibri" w:hAnsi="Calibri" w:cs="Calibri"/>
          <w:color w:val="000000" w:themeColor="text1"/>
        </w:rPr>
      </w:pPr>
      <w:r w:rsidRPr="001270F1">
        <w:rPr>
          <w:rFonts w:ascii="Calibri" w:hAnsi="Calibri" w:cs="Calibri"/>
          <w:color w:val="000000" w:themeColor="text1"/>
        </w:rPr>
        <w:lastRenderedPageBreak/>
        <w:t xml:space="preserve">Pike, G. (2008). Global education. In J. Arthur, I. Davies, &amp; C. Hahn (Eds.), </w:t>
      </w:r>
      <w:r w:rsidRPr="001270F1">
        <w:rPr>
          <w:rFonts w:ascii="Calibri" w:hAnsi="Calibri" w:cs="Calibri"/>
          <w:i/>
          <w:iCs/>
          <w:color w:val="000000" w:themeColor="text1"/>
        </w:rPr>
        <w:t xml:space="preserve">The SAGE handbook of education for citizenship and democracy </w:t>
      </w:r>
      <w:r w:rsidRPr="001270F1">
        <w:rPr>
          <w:rFonts w:ascii="Calibri" w:hAnsi="Calibri" w:cs="Calibri"/>
          <w:color w:val="000000" w:themeColor="text1"/>
        </w:rPr>
        <w:t xml:space="preserve">(pp. 468–480). London, UK: Sage </w:t>
      </w:r>
    </w:p>
    <w:p w14:paraId="52937E7B" w14:textId="77777777" w:rsidR="00906392" w:rsidRPr="001270F1" w:rsidRDefault="00906392" w:rsidP="00665090">
      <w:pPr>
        <w:snapToGrid w:val="0"/>
        <w:spacing w:before="120" w:after="120"/>
        <w:ind w:left="720" w:hanging="720"/>
        <w:rPr>
          <w:rFonts w:ascii="Calibri" w:hAnsi="Calibri" w:cs="Calibri"/>
          <w:color w:val="000000" w:themeColor="text1"/>
        </w:rPr>
      </w:pPr>
      <w:r w:rsidRPr="001270F1">
        <w:rPr>
          <w:rFonts w:ascii="Calibri" w:hAnsi="Calibri" w:cs="Calibri"/>
          <w:color w:val="000000" w:themeColor="text1"/>
        </w:rPr>
        <w:t xml:space="preserve">Ponguta, L. A., Maldonado-Carreño, C., Kagan, S. L., Yoshikawa, H., Nieto, A. M., Aragón, C. A., … </w:t>
      </w:r>
      <w:proofErr w:type="spellStart"/>
      <w:r w:rsidRPr="001270F1">
        <w:rPr>
          <w:rFonts w:ascii="Calibri" w:hAnsi="Calibri" w:cs="Calibri"/>
          <w:color w:val="000000" w:themeColor="text1"/>
        </w:rPr>
        <w:t>Escallon</w:t>
      </w:r>
      <w:proofErr w:type="spellEnd"/>
      <w:r w:rsidRPr="001270F1">
        <w:rPr>
          <w:rFonts w:ascii="Calibri" w:hAnsi="Calibri" w:cs="Calibri"/>
          <w:color w:val="000000" w:themeColor="text1"/>
        </w:rPr>
        <w:t xml:space="preserve">, E. (2019). Adaptation and Application of the Measuring Early Learning Quality and Outcomes (MELQO) Framework to Early Childhood Education Settings in Colombia. </w:t>
      </w:r>
      <w:proofErr w:type="spellStart"/>
      <w:r w:rsidRPr="001270F1">
        <w:rPr>
          <w:rFonts w:ascii="Calibri" w:hAnsi="Calibri" w:cs="Calibri"/>
          <w:i/>
          <w:iCs/>
          <w:color w:val="000000" w:themeColor="text1"/>
        </w:rPr>
        <w:t>Zeitschrift</w:t>
      </w:r>
      <w:proofErr w:type="spellEnd"/>
      <w:r w:rsidRPr="001270F1">
        <w:rPr>
          <w:rFonts w:ascii="Calibri" w:hAnsi="Calibri" w:cs="Calibri"/>
          <w:i/>
          <w:iCs/>
          <w:color w:val="000000" w:themeColor="text1"/>
        </w:rPr>
        <w:t xml:space="preserve"> Für </w:t>
      </w:r>
      <w:proofErr w:type="spellStart"/>
      <w:r w:rsidRPr="001270F1">
        <w:rPr>
          <w:rFonts w:ascii="Calibri" w:hAnsi="Calibri" w:cs="Calibri"/>
          <w:i/>
          <w:iCs/>
          <w:color w:val="000000" w:themeColor="text1"/>
        </w:rPr>
        <w:t>Psychologie</w:t>
      </w:r>
      <w:proofErr w:type="spellEnd"/>
      <w:r w:rsidRPr="001270F1">
        <w:rPr>
          <w:rFonts w:ascii="Calibri" w:hAnsi="Calibri" w:cs="Calibri"/>
          <w:i/>
          <w:iCs/>
          <w:color w:val="000000" w:themeColor="text1"/>
        </w:rPr>
        <w:t>, 227</w:t>
      </w:r>
      <w:r w:rsidRPr="001270F1">
        <w:rPr>
          <w:rFonts w:ascii="Calibri" w:hAnsi="Calibri" w:cs="Calibri"/>
          <w:color w:val="000000" w:themeColor="text1"/>
        </w:rPr>
        <w:t xml:space="preserve">(2), 105–112. </w:t>
      </w:r>
      <w:proofErr w:type="spellStart"/>
      <w:r w:rsidRPr="001270F1">
        <w:rPr>
          <w:rFonts w:ascii="Calibri" w:hAnsi="Calibri" w:cs="Calibri"/>
          <w:color w:val="000000" w:themeColor="text1"/>
        </w:rPr>
        <w:t>doi</w:t>
      </w:r>
      <w:proofErr w:type="spellEnd"/>
      <w:r w:rsidRPr="001270F1">
        <w:rPr>
          <w:rFonts w:ascii="Calibri" w:hAnsi="Calibri" w:cs="Calibri"/>
          <w:color w:val="000000" w:themeColor="text1"/>
        </w:rPr>
        <w:t>: 10.1027/2151-2604/a000361</w:t>
      </w:r>
    </w:p>
    <w:p w14:paraId="37658322" w14:textId="77777777" w:rsidR="00570259" w:rsidRPr="001270F1" w:rsidRDefault="00570259" w:rsidP="00665090">
      <w:pPr>
        <w:pStyle w:val="NormalWeb"/>
        <w:snapToGrid w:val="0"/>
        <w:spacing w:before="120" w:beforeAutospacing="0" w:after="120" w:afterAutospacing="0"/>
        <w:ind w:left="450" w:hanging="450"/>
        <w:rPr>
          <w:rFonts w:ascii="Calibri" w:hAnsi="Calibri" w:cs="Calibri"/>
          <w:color w:val="000000" w:themeColor="text1"/>
          <w:lang w:val="en-US"/>
        </w:rPr>
      </w:pPr>
      <w:r w:rsidRPr="001270F1">
        <w:rPr>
          <w:rFonts w:ascii="Calibri" w:hAnsi="Calibri" w:cs="Calibri"/>
          <w:color w:val="000000" w:themeColor="text1"/>
          <w:lang w:val="en-US"/>
        </w:rPr>
        <w:t>Projects, Covid-19. (2020). Retrieved 5 July 2020, from https://www.launchgood.com/projects/search_projects?search=covid-19</w:t>
      </w:r>
    </w:p>
    <w:p w14:paraId="0000B72C" w14:textId="77777777" w:rsidR="00906392" w:rsidRPr="001270F1" w:rsidRDefault="00906392" w:rsidP="00665090">
      <w:pPr>
        <w:snapToGrid w:val="0"/>
        <w:spacing w:before="120" w:after="120"/>
        <w:ind w:left="720" w:hanging="720"/>
        <w:rPr>
          <w:rFonts w:ascii="Calibri" w:hAnsi="Calibri" w:cs="Calibri"/>
          <w:color w:val="000000" w:themeColor="text1"/>
        </w:rPr>
      </w:pPr>
      <w:r w:rsidRPr="001270F1">
        <w:rPr>
          <w:rFonts w:ascii="Calibri" w:hAnsi="Calibri" w:cs="Calibri"/>
          <w:color w:val="000000" w:themeColor="text1"/>
        </w:rPr>
        <w:t xml:space="preserve">Sachs, J., Schmidt-Traub, G., Kroll, C., Lafortune, G., Fuller, G. (2019): </w:t>
      </w:r>
      <w:r w:rsidRPr="001270F1">
        <w:rPr>
          <w:rFonts w:ascii="Calibri" w:hAnsi="Calibri" w:cs="Calibri"/>
          <w:i/>
          <w:iCs/>
          <w:color w:val="000000" w:themeColor="text1"/>
        </w:rPr>
        <w:t>Sustainable Development Report 2019</w:t>
      </w:r>
      <w:r w:rsidRPr="001270F1">
        <w:rPr>
          <w:rFonts w:ascii="Calibri" w:hAnsi="Calibri" w:cs="Calibri"/>
          <w:color w:val="000000" w:themeColor="text1"/>
        </w:rPr>
        <w:t>. New York: Bertelsmann Stiftung and Sustainable Development Solutions Network (SDSN).</w:t>
      </w:r>
    </w:p>
    <w:p w14:paraId="367FC3C3" w14:textId="77777777" w:rsidR="00906392" w:rsidRPr="001270F1" w:rsidRDefault="00906392" w:rsidP="00665090">
      <w:pPr>
        <w:snapToGrid w:val="0"/>
        <w:spacing w:before="120" w:after="120"/>
        <w:ind w:left="720" w:hanging="720"/>
        <w:rPr>
          <w:rFonts w:ascii="Calibri" w:hAnsi="Calibri" w:cs="Calibri"/>
          <w:b/>
          <w:color w:val="000000" w:themeColor="text1"/>
          <w:u w:val="single"/>
        </w:rPr>
      </w:pPr>
      <w:r w:rsidRPr="001270F1">
        <w:rPr>
          <w:rFonts w:ascii="Calibri" w:hAnsi="Calibri" w:cs="Calibri"/>
          <w:bCs/>
          <w:color w:val="000000" w:themeColor="text1"/>
        </w:rPr>
        <w:t>Schwarz, L. A., Lorenz, W. A., &amp; Schmidt, K. A. (2018). Villanova University’s Sustainability Plan: The United Nations Sustainable Development Goals Applied to Higher Education (Master Thesis)</w:t>
      </w:r>
      <w:r w:rsidRPr="001270F1">
        <w:rPr>
          <w:rFonts w:ascii="Calibri" w:hAnsi="Calibri" w:cs="Calibri"/>
          <w:b/>
          <w:color w:val="000000" w:themeColor="text1"/>
          <w:u w:val="single"/>
        </w:rPr>
        <w:t xml:space="preserve"> </w:t>
      </w:r>
    </w:p>
    <w:p w14:paraId="5E85F332" w14:textId="77777777" w:rsidR="00906392" w:rsidRPr="001270F1" w:rsidRDefault="00906392" w:rsidP="00665090">
      <w:pPr>
        <w:snapToGrid w:val="0"/>
        <w:spacing w:before="120" w:after="120"/>
        <w:ind w:left="720" w:hanging="720"/>
        <w:rPr>
          <w:rFonts w:ascii="Calibri" w:hAnsi="Calibri" w:cs="Calibri"/>
          <w:color w:val="000000" w:themeColor="text1"/>
        </w:rPr>
      </w:pPr>
      <w:r w:rsidRPr="001270F1">
        <w:rPr>
          <w:rFonts w:ascii="Calibri" w:hAnsi="Calibri" w:cs="Calibri"/>
          <w:color w:val="000000" w:themeColor="text1"/>
        </w:rPr>
        <w:t xml:space="preserve">Shephard, K., Rieckmann, M., &amp; Barth, M. (2019). Seeking sustainability competence and capability in the ESD and HESD literature: an international philosophical hermeneutic analysis. </w:t>
      </w:r>
      <w:r w:rsidRPr="001270F1">
        <w:rPr>
          <w:rFonts w:ascii="Calibri" w:hAnsi="Calibri" w:cs="Calibri"/>
          <w:i/>
          <w:iCs/>
          <w:color w:val="000000" w:themeColor="text1"/>
        </w:rPr>
        <w:t>Environmental Education Research, 25</w:t>
      </w:r>
      <w:r w:rsidRPr="001270F1">
        <w:rPr>
          <w:rFonts w:ascii="Calibri" w:hAnsi="Calibri" w:cs="Calibri"/>
          <w:color w:val="000000" w:themeColor="text1"/>
        </w:rPr>
        <w:t xml:space="preserve">(4), 532-547. </w:t>
      </w:r>
      <w:proofErr w:type="spellStart"/>
      <w:r w:rsidRPr="001270F1">
        <w:rPr>
          <w:rFonts w:ascii="Calibri" w:hAnsi="Calibri" w:cs="Calibri"/>
          <w:color w:val="000000" w:themeColor="text1"/>
        </w:rPr>
        <w:t>doi</w:t>
      </w:r>
      <w:proofErr w:type="spellEnd"/>
      <w:r w:rsidRPr="001270F1">
        <w:rPr>
          <w:rFonts w:ascii="Calibri" w:hAnsi="Calibri" w:cs="Calibri"/>
          <w:color w:val="000000" w:themeColor="text1"/>
        </w:rPr>
        <w:t>: 10.1080/13504622.2018.1490947</w:t>
      </w:r>
    </w:p>
    <w:p w14:paraId="4C648585" w14:textId="77777777" w:rsidR="00570259" w:rsidRPr="001270F1" w:rsidRDefault="00570259" w:rsidP="00665090">
      <w:pPr>
        <w:pStyle w:val="NormalWeb"/>
        <w:snapToGrid w:val="0"/>
        <w:spacing w:before="120" w:beforeAutospacing="0" w:after="120" w:afterAutospacing="0"/>
        <w:ind w:left="450" w:hanging="450"/>
        <w:rPr>
          <w:rFonts w:ascii="Calibri" w:hAnsi="Calibri" w:cs="Calibri"/>
          <w:color w:val="000000" w:themeColor="text1"/>
          <w:lang w:val="en-US"/>
        </w:rPr>
      </w:pPr>
      <w:r w:rsidRPr="001270F1">
        <w:rPr>
          <w:rFonts w:ascii="Calibri" w:hAnsi="Calibri" w:cs="Calibri"/>
          <w:color w:val="000000" w:themeColor="text1"/>
          <w:lang w:val="en-US"/>
        </w:rPr>
        <w:t>UNCTAD. (2014). </w:t>
      </w:r>
      <w:r w:rsidRPr="001270F1">
        <w:rPr>
          <w:rFonts w:ascii="Calibri" w:hAnsi="Calibri" w:cs="Calibri"/>
          <w:i/>
          <w:iCs/>
          <w:color w:val="000000" w:themeColor="text1"/>
          <w:lang w:val="en-US"/>
        </w:rPr>
        <w:t>World Investment Report 2014</w:t>
      </w:r>
      <w:r w:rsidRPr="001270F1">
        <w:rPr>
          <w:rFonts w:ascii="Calibri" w:hAnsi="Calibri" w:cs="Calibri"/>
          <w:color w:val="000000" w:themeColor="text1"/>
          <w:lang w:val="en-US"/>
        </w:rPr>
        <w:t>. United Nations Conference on Trade and Development.</w:t>
      </w:r>
    </w:p>
    <w:p w14:paraId="476314CF" w14:textId="77777777" w:rsidR="00570259" w:rsidRPr="001270F1" w:rsidRDefault="00570259" w:rsidP="00665090">
      <w:pPr>
        <w:pStyle w:val="NormalWeb"/>
        <w:snapToGrid w:val="0"/>
        <w:spacing w:before="120" w:beforeAutospacing="0" w:after="120" w:afterAutospacing="0"/>
        <w:ind w:left="450" w:hanging="450"/>
        <w:rPr>
          <w:rFonts w:ascii="Calibri" w:hAnsi="Calibri" w:cs="Calibri"/>
          <w:color w:val="000000" w:themeColor="text1"/>
          <w:lang w:val="en-US"/>
        </w:rPr>
      </w:pPr>
      <w:r w:rsidRPr="001270F1">
        <w:rPr>
          <w:rFonts w:ascii="Calibri" w:hAnsi="Calibri" w:cs="Calibri"/>
          <w:color w:val="000000" w:themeColor="text1"/>
          <w:lang w:val="en-US"/>
        </w:rPr>
        <w:t>UNHCR. (2019). </w:t>
      </w:r>
      <w:r w:rsidRPr="001270F1">
        <w:rPr>
          <w:rFonts w:ascii="Calibri" w:hAnsi="Calibri" w:cs="Calibri"/>
          <w:i/>
          <w:iCs/>
          <w:color w:val="000000" w:themeColor="text1"/>
          <w:lang w:val="en-US"/>
        </w:rPr>
        <w:t>UNHCR Zakat Program: 2019 Launch Report</w:t>
      </w:r>
      <w:r w:rsidRPr="001270F1">
        <w:rPr>
          <w:rFonts w:ascii="Calibri" w:hAnsi="Calibri" w:cs="Calibri"/>
          <w:color w:val="000000" w:themeColor="text1"/>
          <w:lang w:val="en-US"/>
        </w:rPr>
        <w:t>. UNHCR. Retrieved from https://zakat.unhcr.org/wp-content/uploads/2020/02/UNHCR-Annual-Zakat-Report-2019-FINAL-EN_1-page.pdf</w:t>
      </w:r>
    </w:p>
    <w:p w14:paraId="3F222CB4" w14:textId="1A1ADD8C" w:rsidR="00570259" w:rsidRPr="001270F1" w:rsidRDefault="00570259" w:rsidP="00665090">
      <w:pPr>
        <w:pStyle w:val="NormalWeb"/>
        <w:snapToGrid w:val="0"/>
        <w:spacing w:before="120" w:beforeAutospacing="0" w:after="120" w:afterAutospacing="0"/>
        <w:ind w:left="450" w:hanging="450"/>
        <w:rPr>
          <w:rFonts w:ascii="Calibri" w:hAnsi="Calibri" w:cs="Calibri"/>
          <w:color w:val="000000" w:themeColor="text1"/>
          <w:lang w:val="en-US"/>
        </w:rPr>
      </w:pPr>
      <w:r w:rsidRPr="001270F1">
        <w:rPr>
          <w:rFonts w:ascii="Calibri" w:hAnsi="Calibri" w:cs="Calibri"/>
          <w:color w:val="000000" w:themeColor="text1"/>
          <w:lang w:val="en-US"/>
        </w:rPr>
        <w:t xml:space="preserve">UNICEF and the Islamic Development Bank launch first global Muslim philanthropy fund for children. (2019). Retrieved 5 July 2020, from </w:t>
      </w:r>
      <w:hyperlink r:id="rId14" w:history="1">
        <w:r w:rsidR="001270F1" w:rsidRPr="001270F1">
          <w:rPr>
            <w:rStyle w:val="Hyperlink"/>
            <w:rFonts w:ascii="Calibri" w:hAnsi="Calibri" w:cs="Calibri"/>
            <w:color w:val="000000" w:themeColor="text1"/>
            <w:lang w:val="en-US"/>
          </w:rPr>
          <w:t>https://www.isdb.org/news/unicef-and-the-islamic-development-bank-launch-first-global-muslim-philanthropy-fund-for-children</w:t>
        </w:r>
      </w:hyperlink>
    </w:p>
    <w:p w14:paraId="0E2F8D47" w14:textId="77777777" w:rsidR="001270F1" w:rsidRPr="001270F1" w:rsidRDefault="001270F1" w:rsidP="001270F1">
      <w:pPr>
        <w:pStyle w:val="NormalWeb"/>
        <w:snapToGrid w:val="0"/>
        <w:spacing w:before="120" w:beforeAutospacing="0" w:after="120" w:afterAutospacing="0"/>
        <w:ind w:left="450" w:hanging="450"/>
        <w:rPr>
          <w:rFonts w:ascii="Calibri" w:hAnsi="Calibri" w:cs="Calibri"/>
          <w:color w:val="000000" w:themeColor="text1"/>
          <w:lang w:val="en-US"/>
        </w:rPr>
      </w:pPr>
      <w:r w:rsidRPr="001270F1">
        <w:rPr>
          <w:rFonts w:ascii="Calibri" w:hAnsi="Calibri" w:cs="Calibri"/>
          <w:color w:val="000000" w:themeColor="text1"/>
          <w:lang w:val="en-US"/>
        </w:rPr>
        <w:t>Usman, A. S., &amp; Tasmin, R. (2015). Entrepreneurial skills development strategies through the mandatory students’ industrial work experience scheme in Nigeria. Procedia-Social and Behavioral Sciences, 204(1), 254-258.</w:t>
      </w:r>
    </w:p>
    <w:p w14:paraId="1D19D7A0" w14:textId="77777777" w:rsidR="00570259" w:rsidRPr="001270F1" w:rsidRDefault="00570259" w:rsidP="00665090">
      <w:pPr>
        <w:pStyle w:val="NormalWeb"/>
        <w:snapToGrid w:val="0"/>
        <w:spacing w:before="120" w:beforeAutospacing="0" w:after="120" w:afterAutospacing="0"/>
        <w:ind w:left="450" w:hanging="450"/>
        <w:rPr>
          <w:rFonts w:ascii="Calibri" w:hAnsi="Calibri" w:cs="Calibri"/>
          <w:color w:val="000000" w:themeColor="text1"/>
          <w:lang w:val="en-US"/>
        </w:rPr>
      </w:pPr>
      <w:r w:rsidRPr="001270F1">
        <w:rPr>
          <w:rFonts w:ascii="Calibri" w:hAnsi="Calibri" w:cs="Calibri"/>
          <w:color w:val="000000" w:themeColor="text1"/>
          <w:lang w:val="en-US"/>
        </w:rPr>
        <w:t xml:space="preserve">W. Tschanz, D. (2017). </w:t>
      </w:r>
      <w:proofErr w:type="spellStart"/>
      <w:r w:rsidRPr="001270F1">
        <w:rPr>
          <w:rFonts w:ascii="Calibri" w:hAnsi="Calibri" w:cs="Calibri"/>
          <w:color w:val="000000" w:themeColor="text1"/>
          <w:lang w:val="en-US"/>
        </w:rPr>
        <w:t>Bimaristans</w:t>
      </w:r>
      <w:proofErr w:type="spellEnd"/>
      <w:r w:rsidRPr="001270F1">
        <w:rPr>
          <w:rFonts w:ascii="Calibri" w:hAnsi="Calibri" w:cs="Calibri"/>
          <w:color w:val="000000" w:themeColor="text1"/>
          <w:lang w:val="en-US"/>
        </w:rPr>
        <w:t xml:space="preserve"> and The Rise of Modern Healthcare Systems. </w:t>
      </w:r>
      <w:r w:rsidRPr="001270F1">
        <w:rPr>
          <w:rFonts w:ascii="Calibri" w:hAnsi="Calibri" w:cs="Calibri"/>
          <w:i/>
          <w:iCs/>
          <w:color w:val="000000" w:themeColor="text1"/>
          <w:lang w:val="en-US"/>
        </w:rPr>
        <w:t>Aspetar Sports Medicine Journal</w:t>
      </w:r>
      <w:r w:rsidRPr="001270F1">
        <w:rPr>
          <w:rFonts w:ascii="Calibri" w:hAnsi="Calibri" w:cs="Calibri"/>
          <w:color w:val="000000" w:themeColor="text1"/>
          <w:lang w:val="en-US"/>
        </w:rPr>
        <w:t>, 438-443. Retrieved from https://www.aspetar.com/journal/upload/PDF/2014810123420.pdf</w:t>
      </w:r>
    </w:p>
    <w:p w14:paraId="604FECCF" w14:textId="77777777" w:rsidR="00906392" w:rsidRPr="001270F1" w:rsidRDefault="00906392" w:rsidP="00665090">
      <w:pPr>
        <w:snapToGrid w:val="0"/>
        <w:spacing w:before="120" w:after="120"/>
        <w:ind w:left="720" w:hanging="720"/>
        <w:rPr>
          <w:rFonts w:ascii="Calibri" w:hAnsi="Calibri" w:cs="Calibri"/>
          <w:color w:val="000000" w:themeColor="text1"/>
        </w:rPr>
      </w:pPr>
      <w:r w:rsidRPr="001270F1">
        <w:rPr>
          <w:rFonts w:ascii="Calibri" w:hAnsi="Calibri" w:cs="Calibri"/>
          <w:color w:val="000000" w:themeColor="text1"/>
        </w:rPr>
        <w:t>UNESCO. (2017). Global Report on Culture for Sustainable Urban Development, Global Education Monitoring Report, Retrieved from http://unesdoc.unesco.org/</w:t>
      </w:r>
    </w:p>
    <w:p w14:paraId="0371CDA0" w14:textId="77777777" w:rsidR="00570259" w:rsidRPr="001270F1" w:rsidRDefault="00570259" w:rsidP="00665090">
      <w:pPr>
        <w:pStyle w:val="NormalWeb"/>
        <w:snapToGrid w:val="0"/>
        <w:spacing w:before="120" w:beforeAutospacing="0" w:after="120" w:afterAutospacing="0"/>
        <w:ind w:left="450" w:hanging="450"/>
        <w:rPr>
          <w:rFonts w:ascii="Calibri" w:hAnsi="Calibri" w:cs="Calibri"/>
          <w:color w:val="000000" w:themeColor="text1"/>
          <w:lang w:val="en-US"/>
        </w:rPr>
      </w:pPr>
      <w:r w:rsidRPr="001270F1">
        <w:rPr>
          <w:rFonts w:ascii="Calibri" w:hAnsi="Calibri" w:cs="Calibri"/>
          <w:color w:val="000000" w:themeColor="text1"/>
          <w:lang w:val="en-US"/>
        </w:rPr>
        <w:t>UNHCR. (2019). UNHCR Zakat Program: 2019 Launch Report. UNHCR. Retrieved from https://zakat.unhcr.org/wp-content/uploads/2020/02/UNHCR-Annual-Zakat-Report-2019-FINAL-EN_1-page.pdf</w:t>
      </w:r>
    </w:p>
    <w:p w14:paraId="3FEA24F4" w14:textId="21C238E1" w:rsidR="00570259" w:rsidRPr="001270F1" w:rsidRDefault="00570259" w:rsidP="007D4E76">
      <w:pPr>
        <w:pStyle w:val="NormalWeb"/>
        <w:snapToGrid w:val="0"/>
        <w:spacing w:before="120" w:beforeAutospacing="0" w:after="120" w:afterAutospacing="0"/>
        <w:ind w:left="450" w:hanging="450"/>
        <w:rPr>
          <w:rFonts w:ascii="Calibri" w:hAnsi="Calibri" w:cs="Calibri"/>
          <w:color w:val="000000" w:themeColor="text1"/>
          <w:lang w:val="en-US"/>
        </w:rPr>
      </w:pPr>
      <w:r w:rsidRPr="001270F1">
        <w:rPr>
          <w:rFonts w:ascii="Calibri" w:hAnsi="Calibri" w:cs="Calibri"/>
          <w:color w:val="000000" w:themeColor="text1"/>
          <w:lang w:val="en-US"/>
        </w:rPr>
        <w:t xml:space="preserve">UNICEF and the Islamic Development Bank launch first global Muslim philanthropy fund for children. (2019). Retrieved 5 July 2020, from </w:t>
      </w:r>
      <w:hyperlink r:id="rId15" w:history="1">
        <w:r w:rsidR="00906392" w:rsidRPr="001270F1">
          <w:rPr>
            <w:rStyle w:val="Hyperlink"/>
            <w:rFonts w:ascii="Calibri" w:hAnsi="Calibri" w:cs="Calibri"/>
            <w:color w:val="000000" w:themeColor="text1"/>
            <w:lang w:val="en-US"/>
          </w:rPr>
          <w:t>https://www.isdb.org/news/unicef-and-</w:t>
        </w:r>
        <w:r w:rsidR="00906392" w:rsidRPr="001270F1">
          <w:rPr>
            <w:rStyle w:val="Hyperlink"/>
            <w:rFonts w:ascii="Calibri" w:hAnsi="Calibri" w:cs="Calibri"/>
            <w:color w:val="000000" w:themeColor="text1"/>
            <w:lang w:val="en-US"/>
          </w:rPr>
          <w:lastRenderedPageBreak/>
          <w:t>the-islamic-development-bank-launch-first-global-muslim-philanthropy-fund-for-children</w:t>
        </w:r>
      </w:hyperlink>
    </w:p>
    <w:p w14:paraId="1465A763" w14:textId="278CF375" w:rsidR="00906392" w:rsidRPr="001270F1" w:rsidRDefault="00906392" w:rsidP="00906392">
      <w:pPr>
        <w:pStyle w:val="NormalWeb"/>
        <w:snapToGrid w:val="0"/>
        <w:spacing w:before="120" w:beforeAutospacing="0" w:after="120" w:afterAutospacing="0"/>
        <w:ind w:left="450" w:hanging="450"/>
        <w:rPr>
          <w:rFonts w:ascii="Calibri" w:hAnsi="Calibri" w:cs="Calibri"/>
          <w:color w:val="000000" w:themeColor="text1"/>
          <w:lang w:val="en-US"/>
        </w:rPr>
      </w:pPr>
      <w:r w:rsidRPr="001270F1">
        <w:rPr>
          <w:rFonts w:ascii="Calibri" w:hAnsi="Calibri" w:cs="Calibri"/>
          <w:color w:val="000000" w:themeColor="text1"/>
          <w:lang w:val="en-US"/>
        </w:rPr>
        <w:t>Usman, A. S., &amp; Tasmin, R. (2016). The Relevance of Islamic Micro-finance in achieving the Sustainable Development Goals. International Journal of Latest Trends in Finance and Economic Sciences, 6(2), 1115-1125.</w:t>
      </w:r>
    </w:p>
    <w:p w14:paraId="14987677" w14:textId="77777777" w:rsidR="00570259" w:rsidRPr="001270F1" w:rsidRDefault="00570259" w:rsidP="00665090">
      <w:pPr>
        <w:pStyle w:val="NormalWeb"/>
        <w:snapToGrid w:val="0"/>
        <w:spacing w:before="120" w:beforeAutospacing="0" w:after="120" w:afterAutospacing="0"/>
        <w:ind w:left="450" w:hanging="450"/>
        <w:rPr>
          <w:rFonts w:ascii="Calibri" w:hAnsi="Calibri" w:cs="Calibri"/>
          <w:color w:val="000000" w:themeColor="text1"/>
          <w:lang w:val="en-US"/>
        </w:rPr>
      </w:pPr>
      <w:r w:rsidRPr="001270F1">
        <w:rPr>
          <w:rFonts w:ascii="Calibri" w:hAnsi="Calibri" w:cs="Calibri"/>
          <w:color w:val="000000" w:themeColor="text1"/>
          <w:lang w:val="en-US"/>
        </w:rPr>
        <w:t xml:space="preserve">W. Tschanz, D. (2017). </w:t>
      </w:r>
      <w:proofErr w:type="spellStart"/>
      <w:r w:rsidRPr="001270F1">
        <w:rPr>
          <w:rFonts w:ascii="Calibri" w:hAnsi="Calibri" w:cs="Calibri"/>
          <w:color w:val="000000" w:themeColor="text1"/>
          <w:lang w:val="en-US"/>
        </w:rPr>
        <w:t>Bimaristans</w:t>
      </w:r>
      <w:proofErr w:type="spellEnd"/>
      <w:r w:rsidRPr="001270F1">
        <w:rPr>
          <w:rFonts w:ascii="Calibri" w:hAnsi="Calibri" w:cs="Calibri"/>
          <w:color w:val="000000" w:themeColor="text1"/>
          <w:lang w:val="en-US"/>
        </w:rPr>
        <w:t xml:space="preserve"> and The Rise of Modern Healthcare Systems. Aspetar Sports Medicine Journal, 438-443. Retrieved from https://www.aspetar.com/journal/upload/PDF/2014810123420.pdf</w:t>
      </w:r>
    </w:p>
    <w:p w14:paraId="23E3E6BE" w14:textId="77777777" w:rsidR="00906392" w:rsidRPr="001270F1" w:rsidRDefault="00906392" w:rsidP="00665090">
      <w:pPr>
        <w:snapToGrid w:val="0"/>
        <w:spacing w:before="120" w:after="120"/>
        <w:ind w:left="720" w:hanging="720"/>
        <w:rPr>
          <w:rFonts w:ascii="Calibri" w:hAnsi="Calibri" w:cs="Calibri"/>
          <w:color w:val="000000" w:themeColor="text1"/>
        </w:rPr>
      </w:pPr>
      <w:proofErr w:type="spellStart"/>
      <w:r w:rsidRPr="001270F1">
        <w:rPr>
          <w:rFonts w:ascii="Calibri" w:hAnsi="Calibri" w:cs="Calibri"/>
          <w:color w:val="000000" w:themeColor="text1"/>
        </w:rPr>
        <w:t>Welply</w:t>
      </w:r>
      <w:proofErr w:type="spellEnd"/>
      <w:r w:rsidRPr="001270F1">
        <w:rPr>
          <w:rFonts w:ascii="Calibri" w:hAnsi="Calibri" w:cs="Calibri"/>
          <w:color w:val="000000" w:themeColor="text1"/>
        </w:rPr>
        <w:t xml:space="preserve">, O., </w:t>
      </w:r>
      <w:proofErr w:type="spellStart"/>
      <w:r w:rsidRPr="001270F1">
        <w:rPr>
          <w:rFonts w:ascii="Calibri" w:hAnsi="Calibri" w:cs="Calibri"/>
          <w:color w:val="000000" w:themeColor="text1"/>
        </w:rPr>
        <w:t>Taamouti</w:t>
      </w:r>
      <w:proofErr w:type="spellEnd"/>
      <w:r w:rsidRPr="001270F1">
        <w:rPr>
          <w:rFonts w:ascii="Calibri" w:hAnsi="Calibri" w:cs="Calibri"/>
          <w:color w:val="000000" w:themeColor="text1"/>
        </w:rPr>
        <w:t xml:space="preserve">, A., &amp; Font, G. B. (2019). </w:t>
      </w:r>
      <w:r w:rsidRPr="001270F1">
        <w:rPr>
          <w:rFonts w:ascii="Calibri" w:hAnsi="Calibri" w:cs="Calibri"/>
          <w:i/>
          <w:color w:val="000000" w:themeColor="text1"/>
        </w:rPr>
        <w:t>Evaluating the Impact of Global Citizenship Education on Young People's Attitudes Towards Equality, Diversity and Tolerance</w:t>
      </w:r>
      <w:r w:rsidRPr="001270F1">
        <w:rPr>
          <w:rFonts w:ascii="Calibri" w:hAnsi="Calibri" w:cs="Calibri"/>
          <w:color w:val="000000" w:themeColor="text1"/>
        </w:rPr>
        <w:t xml:space="preserve">. </w:t>
      </w:r>
    </w:p>
    <w:p w14:paraId="7917D8B1" w14:textId="77777777" w:rsidR="00906392" w:rsidRPr="001270F1" w:rsidRDefault="00906392" w:rsidP="00665090">
      <w:pPr>
        <w:snapToGrid w:val="0"/>
        <w:spacing w:before="120" w:after="120"/>
        <w:ind w:left="720" w:hanging="720"/>
        <w:rPr>
          <w:rFonts w:ascii="Calibri" w:hAnsi="Calibri" w:cs="Calibri"/>
          <w:color w:val="000000" w:themeColor="text1"/>
        </w:rPr>
      </w:pPr>
      <w:r w:rsidRPr="001270F1">
        <w:rPr>
          <w:rFonts w:ascii="Calibri" w:hAnsi="Calibri" w:cs="Calibri"/>
          <w:color w:val="000000" w:themeColor="text1"/>
        </w:rPr>
        <w:t xml:space="preserve">Wringe, C. (1999). Issues in education for citizenship at national, local and global levels. </w:t>
      </w:r>
      <w:r w:rsidRPr="001270F1">
        <w:rPr>
          <w:rFonts w:ascii="Calibri" w:hAnsi="Calibri" w:cs="Calibri"/>
          <w:i/>
          <w:iCs/>
          <w:color w:val="000000" w:themeColor="text1"/>
        </w:rPr>
        <w:t>The Development Education Journal</w:t>
      </w:r>
      <w:r w:rsidRPr="001270F1">
        <w:rPr>
          <w:rFonts w:ascii="Calibri" w:hAnsi="Calibri" w:cs="Calibri"/>
          <w:color w:val="000000" w:themeColor="text1"/>
        </w:rPr>
        <w:t xml:space="preserve">, </w:t>
      </w:r>
      <w:r w:rsidRPr="001270F1">
        <w:rPr>
          <w:rFonts w:ascii="Calibri" w:hAnsi="Calibri" w:cs="Calibri"/>
          <w:i/>
          <w:iCs/>
          <w:color w:val="000000" w:themeColor="text1"/>
        </w:rPr>
        <w:t>6</w:t>
      </w:r>
      <w:r w:rsidRPr="001270F1">
        <w:rPr>
          <w:rFonts w:ascii="Calibri" w:hAnsi="Calibri" w:cs="Calibri"/>
          <w:color w:val="000000" w:themeColor="text1"/>
        </w:rPr>
        <w:t>(1), 4–6.</w:t>
      </w:r>
    </w:p>
    <w:p w14:paraId="22E0FE0E" w14:textId="77777777" w:rsidR="00906392" w:rsidRPr="001270F1" w:rsidRDefault="00906392" w:rsidP="00665090">
      <w:pPr>
        <w:snapToGrid w:val="0"/>
        <w:spacing w:before="120" w:after="120"/>
        <w:ind w:left="720" w:hanging="720"/>
        <w:rPr>
          <w:rFonts w:ascii="Calibri" w:hAnsi="Calibri" w:cs="Calibri"/>
          <w:b/>
          <w:color w:val="000000" w:themeColor="text1"/>
          <w:u w:val="single"/>
        </w:rPr>
      </w:pPr>
      <w:r w:rsidRPr="001270F1">
        <w:rPr>
          <w:rFonts w:ascii="Calibri" w:hAnsi="Calibri" w:cs="Calibri"/>
          <w:color w:val="000000" w:themeColor="text1"/>
        </w:rPr>
        <w:t xml:space="preserve">Yemini, M. (2017). </w:t>
      </w:r>
      <w:r w:rsidRPr="001270F1">
        <w:rPr>
          <w:rFonts w:ascii="Calibri" w:hAnsi="Calibri" w:cs="Calibri"/>
          <w:i/>
          <w:color w:val="000000" w:themeColor="text1"/>
        </w:rPr>
        <w:t>Internationalization and Global Citizenship: Policy and Practice in Education</w:t>
      </w:r>
      <w:r w:rsidRPr="001270F1">
        <w:rPr>
          <w:rFonts w:ascii="Calibri" w:hAnsi="Calibri" w:cs="Calibri"/>
          <w:color w:val="000000" w:themeColor="text1"/>
        </w:rPr>
        <w:t>. Cham: Palgrave Macmillan.</w:t>
      </w:r>
    </w:p>
    <w:p w14:paraId="72B4A5B2" w14:textId="77777777" w:rsidR="004F626E" w:rsidRPr="001270F1" w:rsidRDefault="004F626E" w:rsidP="00665090">
      <w:pPr>
        <w:snapToGrid w:val="0"/>
        <w:spacing w:before="120" w:after="120"/>
        <w:jc w:val="both"/>
        <w:rPr>
          <w:rFonts w:ascii="Calibri" w:hAnsi="Calibri" w:cs="Calibri"/>
          <w:color w:val="000000" w:themeColor="text1"/>
        </w:rPr>
      </w:pPr>
    </w:p>
    <w:sectPr w:rsidR="004F626E" w:rsidRPr="001270F1" w:rsidSect="00B0686F">
      <w:footerReference w:type="even" r:id="rId16"/>
      <w:footerReference w:type="default" r:id="rId17"/>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Zul Hakim Bin Jumat" w:date="2020-09-20T09:58:00Z" w:initials="ZHBJ">
    <w:p w14:paraId="3E078D2B" w14:textId="615D60E7" w:rsidR="00342376" w:rsidRDefault="00342376">
      <w:pPr>
        <w:pStyle w:val="CommentText"/>
      </w:pPr>
      <w:r>
        <w:rPr>
          <w:rStyle w:val="CommentReference"/>
        </w:rPr>
        <w:annotationRef/>
      </w:r>
      <w:r>
        <w:t>What’s this number for?</w:t>
      </w:r>
    </w:p>
  </w:comment>
  <w:comment w:id="3" w:author="Zul Hakim Bin Jumat" w:date="2020-09-20T11:49:00Z" w:initials="ZHBJ">
    <w:p w14:paraId="0F7B1CF3" w14:textId="3C2337D9" w:rsidR="00342376" w:rsidRDefault="00342376">
      <w:pPr>
        <w:pStyle w:val="CommentText"/>
      </w:pPr>
      <w:r>
        <w:rPr>
          <w:rStyle w:val="CommentReference"/>
        </w:rPr>
        <w:annotationRef/>
      </w:r>
      <w:r>
        <w:t>Source?</w:t>
      </w:r>
    </w:p>
  </w:comment>
  <w:comment w:id="4" w:author="Zul Hakim Bin Jumat" w:date="2020-09-20T12:11:00Z" w:initials="ZHBJ">
    <w:p w14:paraId="366172CF" w14:textId="450A29D8" w:rsidR="00D234C8" w:rsidRDefault="00D234C8">
      <w:pPr>
        <w:pStyle w:val="CommentText"/>
      </w:pPr>
      <w:r>
        <w:rPr>
          <w:rStyle w:val="CommentReference"/>
        </w:rPr>
        <w:annotationRef/>
      </w:r>
      <w:r>
        <w:t>Sentence fragmented from paragraph flow</w:t>
      </w:r>
    </w:p>
  </w:comment>
  <w:comment w:id="6" w:author="Zul Hakim Bin Jumat" w:date="2020-09-20T13:02:00Z" w:initials="ZHBJ">
    <w:p w14:paraId="6E9918BD" w14:textId="33C3476E" w:rsidR="00005219" w:rsidRDefault="00005219">
      <w:pPr>
        <w:pStyle w:val="CommentText"/>
      </w:pPr>
      <w:r>
        <w:rPr>
          <w:rStyle w:val="CommentReference"/>
        </w:rPr>
        <w:annotationRef/>
      </w:r>
      <w:r>
        <w:t>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E078D2B" w15:done="0"/>
  <w15:commentEx w15:paraId="0F7B1CF3" w15:done="0"/>
  <w15:commentEx w15:paraId="366172CF" w15:done="0"/>
  <w15:commentEx w15:paraId="6E9918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11A64F" w16cex:dateUtc="2020-09-20T06:58:00Z"/>
  <w16cex:commentExtensible w16cex:durableId="2311C045" w16cex:dateUtc="2020-09-20T08:49:00Z"/>
  <w16cex:commentExtensible w16cex:durableId="2311C55C" w16cex:dateUtc="2020-09-20T09:11:00Z"/>
  <w16cex:commentExtensible w16cex:durableId="2311D16F" w16cex:dateUtc="2020-09-20T1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E078D2B" w16cid:durableId="2311A64F"/>
  <w16cid:commentId w16cid:paraId="0F7B1CF3" w16cid:durableId="2311C045"/>
  <w16cid:commentId w16cid:paraId="366172CF" w16cid:durableId="2311C55C"/>
  <w16cid:commentId w16cid:paraId="6E9918BD" w16cid:durableId="2311D1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45E18" w14:textId="77777777" w:rsidR="0009551C" w:rsidRDefault="0009551C" w:rsidP="004D79A5">
      <w:r>
        <w:separator/>
      </w:r>
    </w:p>
  </w:endnote>
  <w:endnote w:type="continuationSeparator" w:id="0">
    <w:p w14:paraId="493B2CE7" w14:textId="77777777" w:rsidR="0009551C" w:rsidRDefault="0009551C" w:rsidP="004D7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32974694"/>
      <w:docPartObj>
        <w:docPartGallery w:val="Page Numbers (Bottom of Page)"/>
        <w:docPartUnique/>
      </w:docPartObj>
    </w:sdtPr>
    <w:sdtContent>
      <w:p w14:paraId="743EA550" w14:textId="45A5DBE3" w:rsidR="00342376" w:rsidRDefault="00342376" w:rsidP="003423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57D2CB" w14:textId="77777777" w:rsidR="00342376" w:rsidRDefault="00342376" w:rsidP="00CF16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48913076"/>
      <w:docPartObj>
        <w:docPartGallery w:val="Page Numbers (Bottom of Page)"/>
        <w:docPartUnique/>
      </w:docPartObj>
    </w:sdtPr>
    <w:sdtContent>
      <w:p w14:paraId="4DA3E536" w14:textId="0921EF6F" w:rsidR="00342376" w:rsidRDefault="00342376" w:rsidP="003423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0FB51D" w14:textId="77777777" w:rsidR="00342376" w:rsidRDefault="00342376" w:rsidP="00CF16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CEB84" w14:textId="77777777" w:rsidR="0009551C" w:rsidRDefault="0009551C" w:rsidP="004D79A5">
      <w:r>
        <w:separator/>
      </w:r>
    </w:p>
  </w:footnote>
  <w:footnote w:type="continuationSeparator" w:id="0">
    <w:p w14:paraId="4E7164D8" w14:textId="77777777" w:rsidR="0009551C" w:rsidRDefault="0009551C" w:rsidP="004D79A5">
      <w:r>
        <w:continuationSeparator/>
      </w:r>
    </w:p>
  </w:footnote>
  <w:footnote w:id="1">
    <w:p w14:paraId="38057432" w14:textId="77777777" w:rsidR="00342376" w:rsidRPr="00D51B08" w:rsidRDefault="00342376" w:rsidP="00570259">
      <w:pPr>
        <w:pStyle w:val="FootnoteText"/>
        <w:snapToGrid w:val="0"/>
        <w:spacing w:beforeLines="60" w:before="144" w:afterLines="60" w:after="144" w:line="276" w:lineRule="auto"/>
        <w:rPr>
          <w:rFonts w:asciiTheme="majorHAnsi" w:hAnsiTheme="majorHAnsi" w:cstheme="majorHAnsi"/>
        </w:rPr>
      </w:pPr>
      <w:r w:rsidRPr="00D51B08">
        <w:rPr>
          <w:rStyle w:val="FootnoteReference"/>
          <w:rFonts w:asciiTheme="majorHAnsi" w:hAnsiTheme="majorHAnsi" w:cstheme="majorHAnsi"/>
        </w:rPr>
        <w:footnoteRef/>
      </w:r>
      <w:r w:rsidRPr="00D51B08">
        <w:rPr>
          <w:rFonts w:asciiTheme="majorHAnsi" w:hAnsiTheme="majorHAnsi" w:cstheme="majorHAnsi"/>
        </w:rPr>
        <w:t xml:space="preserve"> </w:t>
      </w:r>
      <w:r w:rsidRPr="00D51B08">
        <w:rPr>
          <w:rFonts w:asciiTheme="majorHAnsi" w:hAnsiTheme="majorHAnsi" w:cstheme="majorHAnsi"/>
          <w:lang w:val="en-US"/>
        </w:rPr>
        <w:t>N</w:t>
      </w:r>
      <w:r w:rsidRPr="00D51B08">
        <w:rPr>
          <w:rFonts w:asciiTheme="majorHAnsi" w:hAnsiTheme="majorHAnsi" w:cstheme="majorHAnsi"/>
        </w:rPr>
        <w:t>arrated on the authority of 'Abdullah son of 'Umar that the Messenger of Allah (</w:t>
      </w:r>
      <w:r w:rsidRPr="00D51B08">
        <w:rPr>
          <w:rFonts w:asciiTheme="majorHAnsi" w:hAnsiTheme="majorHAnsi" w:cstheme="majorHAnsi"/>
          <w:lang w:val="en-US"/>
        </w:rPr>
        <w:t>pbuh</w:t>
      </w:r>
      <w:r w:rsidRPr="00D51B08">
        <w:rPr>
          <w:rFonts w:asciiTheme="majorHAnsi" w:hAnsiTheme="majorHAnsi" w:cstheme="majorHAnsi"/>
        </w:rPr>
        <w:t>) said:</w:t>
      </w:r>
    </w:p>
    <w:p w14:paraId="44476826" w14:textId="77777777" w:rsidR="00342376" w:rsidRPr="00D51B08" w:rsidRDefault="00342376" w:rsidP="00570259">
      <w:pPr>
        <w:pStyle w:val="FootnoteText"/>
        <w:snapToGrid w:val="0"/>
        <w:spacing w:beforeLines="60" w:before="144" w:afterLines="60" w:after="144" w:line="276" w:lineRule="auto"/>
        <w:rPr>
          <w:rFonts w:asciiTheme="majorHAnsi" w:hAnsiTheme="majorHAnsi" w:cstheme="majorHAnsi"/>
          <w:rtl/>
          <w:lang w:val="en-US"/>
        </w:rPr>
      </w:pPr>
      <w:r w:rsidRPr="00D51B08">
        <w:rPr>
          <w:rFonts w:asciiTheme="majorHAnsi" w:hAnsiTheme="majorHAnsi" w:cstheme="majorHAnsi"/>
          <w:lang w:val="en-US"/>
        </w:rPr>
        <w:t>“</w:t>
      </w:r>
      <w:r w:rsidRPr="00D51B08">
        <w:rPr>
          <w:rFonts w:asciiTheme="majorHAnsi" w:hAnsiTheme="majorHAnsi" w:cstheme="majorHAnsi"/>
        </w:rPr>
        <w:t>(The superstructure of) al-Islam is raised on five (pillars), testifying (the fact) that there is no god but Allah, that Muhammad is His bondsman and messenger, and the establishment of prayer, payment of Zakat, Pilgrimage to the House (Ka'ba) and the fast of Ramadan</w:t>
      </w:r>
      <w:r w:rsidRPr="00D51B08">
        <w:rPr>
          <w:rFonts w:asciiTheme="majorHAnsi" w:hAnsiTheme="majorHAnsi" w:cstheme="majorHAnsi"/>
          <w:lang w:val="en-US"/>
        </w:rPr>
        <w:t>”</w:t>
      </w:r>
      <w:r w:rsidRPr="00D51B08">
        <w:rPr>
          <w:rFonts w:asciiTheme="majorHAnsi" w:hAnsiTheme="majorHAnsi" w:cstheme="majorHAnsi"/>
        </w:rPr>
        <w:t>.</w:t>
      </w:r>
      <w:r w:rsidRPr="00D51B08">
        <w:rPr>
          <w:rFonts w:asciiTheme="majorHAnsi" w:hAnsiTheme="majorHAnsi" w:cstheme="majorHAnsi"/>
          <w:lang w:val="en-US"/>
        </w:rPr>
        <w:t xml:space="preserve"> (Sahih Muslim, hadith no. 16)</w:t>
      </w:r>
    </w:p>
  </w:footnote>
  <w:footnote w:id="2">
    <w:p w14:paraId="02734650" w14:textId="77777777" w:rsidR="00342376" w:rsidRPr="00D51B08" w:rsidRDefault="00342376" w:rsidP="00570259">
      <w:pPr>
        <w:pStyle w:val="FootnoteText"/>
        <w:snapToGrid w:val="0"/>
        <w:spacing w:beforeLines="60" w:before="144" w:afterLines="60" w:after="144" w:line="276" w:lineRule="auto"/>
        <w:rPr>
          <w:rFonts w:asciiTheme="majorHAnsi" w:hAnsiTheme="majorHAnsi" w:cstheme="majorHAnsi"/>
          <w:i/>
          <w:iCs/>
          <w:lang w:val="en-US"/>
        </w:rPr>
      </w:pPr>
      <w:r w:rsidRPr="00D51B08">
        <w:rPr>
          <w:rStyle w:val="FootnoteReference"/>
          <w:rFonts w:asciiTheme="majorHAnsi" w:hAnsiTheme="majorHAnsi" w:cstheme="majorHAnsi"/>
        </w:rPr>
        <w:footnoteRef/>
      </w:r>
      <w:r w:rsidRPr="00D51B08">
        <w:rPr>
          <w:rFonts w:asciiTheme="majorHAnsi" w:hAnsiTheme="majorHAnsi" w:cstheme="majorHAnsi"/>
        </w:rPr>
        <w:t xml:space="preserve"> </w:t>
      </w:r>
      <w:r w:rsidRPr="00D51B08">
        <w:rPr>
          <w:rFonts w:asciiTheme="majorHAnsi" w:hAnsiTheme="majorHAnsi" w:cstheme="majorHAnsi"/>
          <w:lang w:val="en-US"/>
        </w:rPr>
        <w:t xml:space="preserve">It is narrated in Sahih al-Bukhari (hadith no. 2707) that the prophet (pbuh) said: </w:t>
      </w:r>
      <w:r w:rsidRPr="00D51B08">
        <w:rPr>
          <w:rFonts w:asciiTheme="majorHAnsi" w:hAnsiTheme="majorHAnsi" w:cstheme="majorHAnsi"/>
          <w:i/>
          <w:iCs/>
          <w:lang w:val="en-US"/>
        </w:rPr>
        <w:t>“there is a Sadaqa to be given for every joint of the human body; and for every day on which the sun rises there is a reward of a Sadaqa (i.e. charitable gift) for the one who establishes justice among people”.</w:t>
      </w:r>
    </w:p>
  </w:footnote>
  <w:footnote w:id="3">
    <w:p w14:paraId="1B5D09A3" w14:textId="77777777" w:rsidR="00342376" w:rsidRPr="00D51B08" w:rsidRDefault="00342376" w:rsidP="00570259">
      <w:pPr>
        <w:pStyle w:val="FootnoteText"/>
        <w:snapToGrid w:val="0"/>
        <w:spacing w:beforeLines="60" w:before="144" w:afterLines="60" w:after="144" w:line="276" w:lineRule="auto"/>
        <w:rPr>
          <w:rFonts w:asciiTheme="majorHAnsi" w:hAnsiTheme="majorHAnsi" w:cstheme="majorHAnsi"/>
          <w:lang w:val="en-US"/>
        </w:rPr>
      </w:pPr>
      <w:r w:rsidRPr="00D51B08">
        <w:rPr>
          <w:rStyle w:val="FootnoteReference"/>
          <w:rFonts w:asciiTheme="majorHAnsi" w:hAnsiTheme="majorHAnsi" w:cstheme="majorHAnsi"/>
        </w:rPr>
        <w:footnoteRef/>
      </w:r>
      <w:r w:rsidRPr="00D51B08">
        <w:rPr>
          <w:rFonts w:asciiTheme="majorHAnsi" w:hAnsiTheme="majorHAnsi" w:cstheme="majorHAnsi"/>
        </w:rPr>
        <w:t xml:space="preserve"> </w:t>
      </w:r>
      <w:r w:rsidRPr="00D51B08">
        <w:rPr>
          <w:rFonts w:asciiTheme="majorHAnsi" w:hAnsiTheme="majorHAnsi" w:cstheme="majorHAnsi"/>
          <w:lang w:val="en-US"/>
        </w:rPr>
        <w:t>Sahih Muslim, hadith no. 2699</w:t>
      </w:r>
    </w:p>
    <w:p w14:paraId="5B4769E3" w14:textId="77777777" w:rsidR="00342376" w:rsidRPr="00D51B08" w:rsidRDefault="00342376" w:rsidP="00570259">
      <w:pPr>
        <w:pStyle w:val="FootnoteText"/>
        <w:snapToGrid w:val="0"/>
        <w:spacing w:beforeLines="60" w:before="144" w:afterLines="60" w:after="144" w:line="276" w:lineRule="auto"/>
        <w:rPr>
          <w:rFonts w:asciiTheme="majorHAnsi" w:hAnsiTheme="majorHAnsi" w:cstheme="majorHAnsi"/>
          <w:lang w:val="en-US"/>
        </w:rPr>
      </w:pPr>
    </w:p>
  </w:footnote>
  <w:footnote w:id="4">
    <w:p w14:paraId="5DB618BB" w14:textId="77777777" w:rsidR="00342376" w:rsidRPr="00D51B08" w:rsidRDefault="00342376" w:rsidP="00570259">
      <w:pPr>
        <w:pStyle w:val="FootnoteText"/>
        <w:snapToGrid w:val="0"/>
        <w:spacing w:beforeLines="60" w:before="144" w:afterLines="60" w:after="144" w:line="276" w:lineRule="auto"/>
        <w:rPr>
          <w:rFonts w:asciiTheme="majorHAnsi" w:hAnsiTheme="majorHAnsi" w:cstheme="majorHAnsi"/>
        </w:rPr>
      </w:pPr>
      <w:r w:rsidRPr="00D51B08">
        <w:rPr>
          <w:rStyle w:val="FootnoteReference"/>
          <w:rFonts w:asciiTheme="majorHAnsi" w:hAnsiTheme="majorHAnsi" w:cstheme="majorHAnsi"/>
        </w:rPr>
        <w:footnoteRef/>
      </w:r>
      <w:r>
        <w:rPr>
          <w:rFonts w:asciiTheme="majorHAnsi" w:hAnsiTheme="majorHAnsi" w:cstheme="majorHAnsi"/>
          <w:lang w:val="en-US"/>
        </w:rPr>
        <w:t xml:space="preserve"> See P</w:t>
      </w:r>
      <w:r w:rsidRPr="00C413E8">
        <w:rPr>
          <w:rFonts w:asciiTheme="majorHAnsi" w:hAnsiTheme="majorHAnsi" w:cstheme="majorHAnsi"/>
        </w:rPr>
        <w:t xml:space="preserve">rojects, Covid-19. Launchgood.com. (2020). Retrieved 5 July 2020, from </w:t>
      </w:r>
      <w:hyperlink r:id="rId1" w:history="1">
        <w:r w:rsidRPr="00784797">
          <w:rPr>
            <w:rStyle w:val="Hyperlink"/>
            <w:rFonts w:asciiTheme="majorHAnsi" w:hAnsiTheme="majorHAnsi" w:cstheme="majorHAnsi"/>
          </w:rPr>
          <w:t>https://www.launchgood.com/projects/search_projects?search=covid-19</w:t>
        </w:r>
      </w:hyperlink>
      <w:r w:rsidRPr="00C413E8">
        <w:rPr>
          <w:rFonts w:asciiTheme="majorHAnsi" w:hAnsiTheme="majorHAnsi" w:cstheme="majorHAnsi"/>
        </w:rPr>
        <w:t>.</w:t>
      </w:r>
    </w:p>
  </w:footnote>
  <w:footnote w:id="5">
    <w:p w14:paraId="2DDFB406" w14:textId="77777777" w:rsidR="00342376" w:rsidRPr="00D51B08" w:rsidRDefault="00342376" w:rsidP="00570259">
      <w:pPr>
        <w:pStyle w:val="FootnoteText"/>
        <w:snapToGrid w:val="0"/>
        <w:spacing w:beforeLines="60" w:before="144" w:afterLines="60" w:after="144" w:line="276" w:lineRule="auto"/>
        <w:rPr>
          <w:rFonts w:asciiTheme="majorHAnsi" w:hAnsiTheme="majorHAnsi" w:cstheme="majorHAnsi"/>
          <w:lang w:val="en-US"/>
        </w:rPr>
      </w:pPr>
      <w:r w:rsidRPr="00D51B08">
        <w:rPr>
          <w:rStyle w:val="FootnoteReference"/>
          <w:rFonts w:asciiTheme="majorHAnsi" w:hAnsiTheme="majorHAnsi" w:cstheme="majorHAnsi"/>
        </w:rPr>
        <w:footnoteRef/>
      </w:r>
      <w:r w:rsidRPr="00D51B08">
        <w:rPr>
          <w:rFonts w:asciiTheme="majorHAnsi" w:hAnsiTheme="majorHAnsi" w:cstheme="majorHAnsi"/>
        </w:rPr>
        <w:t xml:space="preserve"> </w:t>
      </w:r>
      <w:r w:rsidRPr="00D51B08">
        <w:rPr>
          <w:rFonts w:asciiTheme="majorHAnsi" w:hAnsiTheme="majorHAnsi" w:cstheme="majorHAnsi"/>
          <w:lang w:val="en-US"/>
        </w:rPr>
        <w:t>See</w:t>
      </w:r>
      <w:r>
        <w:rPr>
          <w:rFonts w:asciiTheme="majorHAnsi" w:hAnsiTheme="majorHAnsi" w:cstheme="majorHAnsi"/>
          <w:lang w:val="en-US"/>
        </w:rPr>
        <w:t xml:space="preserve"> P</w:t>
      </w:r>
      <w:r w:rsidRPr="00C413E8">
        <w:rPr>
          <w:rFonts w:asciiTheme="majorHAnsi" w:hAnsiTheme="majorHAnsi" w:cstheme="majorHAnsi"/>
        </w:rPr>
        <w:t>rojects. Launchgood.com. (2020). Retrieved 5 July 2020, from</w:t>
      </w:r>
      <w:r w:rsidRPr="00D51B08">
        <w:rPr>
          <w:rFonts w:asciiTheme="majorHAnsi" w:hAnsiTheme="majorHAnsi" w:cstheme="majorHAnsi"/>
          <w:lang w:val="en-US"/>
        </w:rPr>
        <w:t xml:space="preserve"> </w:t>
      </w:r>
      <w:hyperlink r:id="rId2" w:history="1">
        <w:r w:rsidRPr="00D51B08">
          <w:rPr>
            <w:rStyle w:val="Hyperlink"/>
            <w:rFonts w:asciiTheme="majorHAnsi" w:hAnsiTheme="majorHAnsi" w:cstheme="majorHAnsi"/>
            <w:lang w:val="en-US"/>
          </w:rPr>
          <w:t>https://www.launchgood.com/projects/</w:t>
        </w:r>
      </w:hyperlink>
    </w:p>
  </w:footnote>
  <w:footnote w:id="6">
    <w:p w14:paraId="7A0A07D8" w14:textId="77777777" w:rsidR="00342376" w:rsidRPr="00D51B08" w:rsidRDefault="00342376" w:rsidP="00570259">
      <w:pPr>
        <w:pStyle w:val="FootnoteText"/>
        <w:snapToGrid w:val="0"/>
        <w:spacing w:beforeLines="60" w:before="144" w:afterLines="60" w:after="144" w:line="276" w:lineRule="auto"/>
        <w:contextualSpacing/>
        <w:rPr>
          <w:rFonts w:asciiTheme="majorHAnsi" w:hAnsiTheme="majorHAnsi" w:cstheme="majorHAnsi"/>
          <w:lang w:val="en-US"/>
        </w:rPr>
      </w:pPr>
      <w:r w:rsidRPr="00D51B08">
        <w:rPr>
          <w:rStyle w:val="FootnoteReference"/>
          <w:rFonts w:asciiTheme="majorHAnsi" w:hAnsiTheme="majorHAnsi" w:cstheme="majorHAnsi"/>
        </w:rPr>
        <w:footnoteRef/>
      </w:r>
      <w:r w:rsidRPr="00D51B08">
        <w:rPr>
          <w:rFonts w:asciiTheme="majorHAnsi" w:hAnsiTheme="majorHAnsi" w:cstheme="majorHAnsi"/>
        </w:rPr>
        <w:t xml:space="preserve"> </w:t>
      </w:r>
      <w:r w:rsidRPr="00D51B08">
        <w:rPr>
          <w:rFonts w:asciiTheme="majorHAnsi" w:hAnsiTheme="majorHAnsi" w:cstheme="majorHAnsi"/>
          <w:i/>
          <w:iCs/>
          <w:lang w:val="en-US"/>
        </w:rPr>
        <w:t xml:space="preserve">Maqasid al-Shariah </w:t>
      </w:r>
      <w:r w:rsidRPr="00D51B08">
        <w:rPr>
          <w:rFonts w:asciiTheme="majorHAnsi" w:hAnsiTheme="majorHAnsi" w:cstheme="majorHAnsi"/>
          <w:lang w:val="en-US"/>
        </w:rPr>
        <w:t xml:space="preserve">is more than just an enjoined system that guides to establish the rules of permissible and prohibited activities. It is also a framework </w:t>
      </w:r>
      <w:r>
        <w:rPr>
          <w:rFonts w:asciiTheme="majorHAnsi" w:hAnsiTheme="majorHAnsi" w:cstheme="majorHAnsi"/>
          <w:lang w:val="en-US"/>
        </w:rPr>
        <w:t>that</w:t>
      </w:r>
      <w:r w:rsidRPr="00D51B08">
        <w:rPr>
          <w:rFonts w:asciiTheme="majorHAnsi" w:hAnsiTheme="majorHAnsi" w:cstheme="majorHAnsi"/>
          <w:lang w:val="en-US"/>
        </w:rPr>
        <w:t xml:space="preserve"> provides guidance on ethical and moral excellence to promote and safeguard overall human well-being.</w:t>
      </w:r>
    </w:p>
    <w:p w14:paraId="6DDBD61D" w14:textId="77777777" w:rsidR="00342376" w:rsidRPr="00D51B08" w:rsidRDefault="00342376" w:rsidP="00570259">
      <w:pPr>
        <w:pStyle w:val="FootnoteText"/>
        <w:snapToGrid w:val="0"/>
        <w:spacing w:beforeLines="60" w:before="144" w:afterLines="60" w:after="144" w:line="276" w:lineRule="auto"/>
        <w:contextualSpacing/>
        <w:rPr>
          <w:rFonts w:asciiTheme="majorHAnsi" w:hAnsiTheme="majorHAnsi" w:cstheme="majorHAnsi"/>
          <w:lang w:val="en-US"/>
        </w:rPr>
      </w:pPr>
      <w:r w:rsidRPr="00D51B08">
        <w:rPr>
          <w:rFonts w:asciiTheme="majorHAnsi" w:hAnsiTheme="majorHAnsi" w:cstheme="majorHAnsi"/>
          <w:lang w:val="en-US"/>
        </w:rPr>
        <w:t xml:space="preserve">The </w:t>
      </w:r>
      <w:r w:rsidRPr="00D51B08">
        <w:rPr>
          <w:rFonts w:asciiTheme="majorHAnsi" w:hAnsiTheme="majorHAnsi" w:cstheme="majorHAnsi"/>
          <w:i/>
          <w:iCs/>
          <w:lang w:val="en-US"/>
        </w:rPr>
        <w:t xml:space="preserve">Maqasid al-Shariah </w:t>
      </w:r>
      <w:r w:rsidRPr="00D51B08">
        <w:rPr>
          <w:rFonts w:asciiTheme="majorHAnsi" w:hAnsiTheme="majorHAnsi" w:cstheme="majorHAnsi"/>
          <w:lang w:val="en-US"/>
        </w:rPr>
        <w:t>is encompassed and based on five components:</w:t>
      </w:r>
    </w:p>
    <w:p w14:paraId="25B1FF10" w14:textId="77777777" w:rsidR="00342376" w:rsidRPr="00D51B08" w:rsidRDefault="00342376" w:rsidP="00570259">
      <w:pPr>
        <w:pStyle w:val="FootnoteText"/>
        <w:numPr>
          <w:ilvl w:val="0"/>
          <w:numId w:val="12"/>
        </w:numPr>
        <w:snapToGrid w:val="0"/>
        <w:spacing w:beforeLines="60" w:before="144" w:afterLines="60" w:after="144" w:line="276" w:lineRule="auto"/>
        <w:contextualSpacing/>
        <w:rPr>
          <w:rFonts w:asciiTheme="majorHAnsi" w:hAnsiTheme="majorHAnsi" w:cstheme="majorHAnsi"/>
          <w:lang w:val="en-US"/>
        </w:rPr>
      </w:pPr>
      <w:r w:rsidRPr="00D51B08">
        <w:rPr>
          <w:rFonts w:asciiTheme="majorHAnsi" w:hAnsiTheme="majorHAnsi" w:cstheme="majorHAnsi"/>
          <w:lang w:val="en-US"/>
        </w:rPr>
        <w:t>Promoting and safeguarding the faith (</w:t>
      </w:r>
      <w:r>
        <w:rPr>
          <w:rFonts w:asciiTheme="majorHAnsi" w:hAnsiTheme="majorHAnsi" w:cstheme="majorHAnsi"/>
          <w:lang w:val="en-US"/>
        </w:rPr>
        <w:t>G</w:t>
      </w:r>
      <w:r w:rsidRPr="00D51B08">
        <w:rPr>
          <w:rFonts w:asciiTheme="majorHAnsi" w:hAnsiTheme="majorHAnsi" w:cstheme="majorHAnsi"/>
          <w:lang w:val="en-US"/>
        </w:rPr>
        <w:t>od</w:t>
      </w:r>
      <w:r>
        <w:rPr>
          <w:rFonts w:asciiTheme="majorHAnsi" w:hAnsiTheme="majorHAnsi" w:cstheme="majorHAnsi"/>
          <w:lang w:val="en-US"/>
        </w:rPr>
        <w:t>-</w:t>
      </w:r>
      <w:r w:rsidRPr="00D51B08">
        <w:rPr>
          <w:rFonts w:asciiTheme="majorHAnsi" w:hAnsiTheme="majorHAnsi" w:cstheme="majorHAnsi"/>
          <w:lang w:val="en-US"/>
        </w:rPr>
        <w:t>consciousness)</w:t>
      </w:r>
    </w:p>
    <w:p w14:paraId="3892CB46" w14:textId="77777777" w:rsidR="00342376" w:rsidRPr="00D51B08" w:rsidRDefault="00342376" w:rsidP="00570259">
      <w:pPr>
        <w:pStyle w:val="FootnoteText"/>
        <w:numPr>
          <w:ilvl w:val="0"/>
          <w:numId w:val="12"/>
        </w:numPr>
        <w:snapToGrid w:val="0"/>
        <w:spacing w:beforeLines="60" w:before="144" w:afterLines="60" w:after="144" w:line="276" w:lineRule="auto"/>
        <w:contextualSpacing/>
        <w:rPr>
          <w:rFonts w:asciiTheme="majorHAnsi" w:hAnsiTheme="majorHAnsi" w:cstheme="majorHAnsi"/>
          <w:lang w:val="en-US"/>
        </w:rPr>
      </w:pPr>
      <w:r w:rsidRPr="00D51B08">
        <w:rPr>
          <w:rFonts w:asciiTheme="majorHAnsi" w:hAnsiTheme="majorHAnsi" w:cstheme="majorHAnsi"/>
          <w:lang w:val="en-US"/>
        </w:rPr>
        <w:t>Promoting and safeguarding the posterity</w:t>
      </w:r>
    </w:p>
    <w:p w14:paraId="728D1AB0" w14:textId="77777777" w:rsidR="00342376" w:rsidRPr="00D51B08" w:rsidRDefault="00342376" w:rsidP="00570259">
      <w:pPr>
        <w:pStyle w:val="FootnoteText"/>
        <w:numPr>
          <w:ilvl w:val="0"/>
          <w:numId w:val="12"/>
        </w:numPr>
        <w:snapToGrid w:val="0"/>
        <w:spacing w:beforeLines="60" w:before="144" w:afterLines="60" w:after="144" w:line="276" w:lineRule="auto"/>
        <w:contextualSpacing/>
        <w:rPr>
          <w:rFonts w:asciiTheme="majorHAnsi" w:hAnsiTheme="majorHAnsi" w:cstheme="majorHAnsi"/>
          <w:lang w:val="en-US"/>
        </w:rPr>
      </w:pPr>
      <w:r w:rsidRPr="00D51B08">
        <w:rPr>
          <w:rFonts w:asciiTheme="majorHAnsi" w:hAnsiTheme="majorHAnsi" w:cstheme="majorHAnsi"/>
          <w:lang w:val="en-US"/>
        </w:rPr>
        <w:t>Promoting and safeguarding life</w:t>
      </w:r>
    </w:p>
    <w:p w14:paraId="2A45BF1C" w14:textId="77777777" w:rsidR="00342376" w:rsidRPr="00D51B08" w:rsidRDefault="00342376" w:rsidP="00570259">
      <w:pPr>
        <w:pStyle w:val="FootnoteText"/>
        <w:numPr>
          <w:ilvl w:val="0"/>
          <w:numId w:val="12"/>
        </w:numPr>
        <w:snapToGrid w:val="0"/>
        <w:spacing w:beforeLines="60" w:before="144" w:afterLines="60" w:after="144" w:line="276" w:lineRule="auto"/>
        <w:contextualSpacing/>
        <w:rPr>
          <w:rFonts w:asciiTheme="majorHAnsi" w:hAnsiTheme="majorHAnsi" w:cstheme="majorHAnsi"/>
          <w:lang w:val="en-US"/>
        </w:rPr>
      </w:pPr>
      <w:r w:rsidRPr="00D51B08">
        <w:rPr>
          <w:rFonts w:asciiTheme="majorHAnsi" w:hAnsiTheme="majorHAnsi" w:cstheme="majorHAnsi"/>
          <w:lang w:val="en-US"/>
        </w:rPr>
        <w:t>Promoting and safeguarding intellect</w:t>
      </w:r>
    </w:p>
    <w:p w14:paraId="50C161AC" w14:textId="77777777" w:rsidR="00342376" w:rsidRPr="00D51B08" w:rsidRDefault="00342376" w:rsidP="00570259">
      <w:pPr>
        <w:pStyle w:val="FootnoteText"/>
        <w:numPr>
          <w:ilvl w:val="0"/>
          <w:numId w:val="12"/>
        </w:numPr>
        <w:snapToGrid w:val="0"/>
        <w:spacing w:beforeLines="60" w:before="144" w:afterLines="60" w:after="144" w:line="276" w:lineRule="auto"/>
        <w:contextualSpacing/>
        <w:rPr>
          <w:rFonts w:asciiTheme="majorHAnsi" w:hAnsiTheme="majorHAnsi" w:cstheme="majorHAnsi"/>
          <w:lang w:val="en-US"/>
        </w:rPr>
      </w:pPr>
      <w:r w:rsidRPr="00D51B08">
        <w:rPr>
          <w:rFonts w:asciiTheme="majorHAnsi" w:hAnsiTheme="majorHAnsi" w:cstheme="majorHAnsi"/>
          <w:lang w:val="en-US"/>
        </w:rPr>
        <w:t>Promoting and safeguarding wealth</w:t>
      </w:r>
    </w:p>
    <w:p w14:paraId="25CCEEC9" w14:textId="77777777" w:rsidR="00342376" w:rsidRPr="00D51B08" w:rsidRDefault="00342376" w:rsidP="00570259">
      <w:pPr>
        <w:pStyle w:val="FootnoteText"/>
        <w:snapToGrid w:val="0"/>
        <w:spacing w:beforeLines="60" w:before="144" w:afterLines="60" w:after="144" w:line="276" w:lineRule="auto"/>
        <w:contextualSpacing/>
        <w:rPr>
          <w:rFonts w:asciiTheme="majorHAnsi" w:hAnsiTheme="majorHAnsi" w:cstheme="majorHAnsi"/>
          <w:lang w:val="en-US"/>
        </w:rPr>
      </w:pPr>
      <w:r w:rsidRPr="00D51B08">
        <w:rPr>
          <w:rFonts w:asciiTheme="majorHAnsi" w:hAnsiTheme="majorHAnsi" w:cstheme="majorHAnsi"/>
          <w:lang w:val="en-US"/>
        </w:rPr>
        <w:t>And further divided into three categories depending on the level of interest:</w:t>
      </w:r>
    </w:p>
    <w:p w14:paraId="41F14CB1" w14:textId="77777777" w:rsidR="00342376" w:rsidRPr="00D51B08" w:rsidRDefault="00342376" w:rsidP="00570259">
      <w:pPr>
        <w:pStyle w:val="FootnoteText"/>
        <w:numPr>
          <w:ilvl w:val="0"/>
          <w:numId w:val="13"/>
        </w:numPr>
        <w:snapToGrid w:val="0"/>
        <w:spacing w:beforeLines="60" w:before="144" w:afterLines="60" w:after="144" w:line="276" w:lineRule="auto"/>
        <w:contextualSpacing/>
        <w:rPr>
          <w:rFonts w:asciiTheme="majorHAnsi" w:hAnsiTheme="majorHAnsi" w:cstheme="majorHAnsi"/>
          <w:lang w:val="en-US"/>
        </w:rPr>
      </w:pPr>
      <w:r w:rsidRPr="00D51B08">
        <w:rPr>
          <w:rFonts w:asciiTheme="majorHAnsi" w:hAnsiTheme="majorHAnsi" w:cstheme="majorHAnsi"/>
          <w:i/>
          <w:iCs/>
          <w:lang w:val="en-US"/>
        </w:rPr>
        <w:t>Daruriyyah</w:t>
      </w:r>
      <w:r w:rsidRPr="00D51B08">
        <w:rPr>
          <w:rFonts w:asciiTheme="majorHAnsi" w:hAnsiTheme="majorHAnsi" w:cstheme="majorHAnsi"/>
          <w:lang w:val="en-US"/>
        </w:rPr>
        <w:t xml:space="preserve"> (essential)</w:t>
      </w:r>
    </w:p>
    <w:p w14:paraId="6117FA91" w14:textId="77777777" w:rsidR="00342376" w:rsidRPr="00D51B08" w:rsidRDefault="00342376" w:rsidP="00570259">
      <w:pPr>
        <w:pStyle w:val="FootnoteText"/>
        <w:numPr>
          <w:ilvl w:val="0"/>
          <w:numId w:val="13"/>
        </w:numPr>
        <w:snapToGrid w:val="0"/>
        <w:spacing w:beforeLines="60" w:before="144" w:afterLines="60" w:after="144" w:line="276" w:lineRule="auto"/>
        <w:ind w:left="714" w:hanging="357"/>
        <w:contextualSpacing/>
        <w:rPr>
          <w:rFonts w:asciiTheme="majorHAnsi" w:hAnsiTheme="majorHAnsi" w:cstheme="majorHAnsi"/>
          <w:lang w:val="en-US"/>
        </w:rPr>
      </w:pPr>
      <w:r w:rsidRPr="00D51B08">
        <w:rPr>
          <w:rFonts w:asciiTheme="majorHAnsi" w:hAnsiTheme="majorHAnsi" w:cstheme="majorHAnsi"/>
          <w:i/>
          <w:iCs/>
          <w:lang w:val="en-US"/>
        </w:rPr>
        <w:t xml:space="preserve">Hajiyyah </w:t>
      </w:r>
      <w:r w:rsidRPr="00D51B08">
        <w:rPr>
          <w:rFonts w:asciiTheme="majorHAnsi" w:hAnsiTheme="majorHAnsi" w:cstheme="majorHAnsi"/>
          <w:lang w:val="en-US"/>
        </w:rPr>
        <w:t>(complementary)</w:t>
      </w:r>
    </w:p>
    <w:p w14:paraId="6FF46577" w14:textId="77777777" w:rsidR="00342376" w:rsidRPr="00D51B08" w:rsidRDefault="00342376" w:rsidP="00570259">
      <w:pPr>
        <w:pStyle w:val="FootnoteText"/>
        <w:numPr>
          <w:ilvl w:val="0"/>
          <w:numId w:val="13"/>
        </w:numPr>
        <w:snapToGrid w:val="0"/>
        <w:spacing w:beforeLines="60" w:before="144" w:afterLines="60" w:after="144" w:line="276" w:lineRule="auto"/>
        <w:ind w:left="714" w:hanging="357"/>
        <w:contextualSpacing/>
        <w:rPr>
          <w:rFonts w:asciiTheme="majorHAnsi" w:hAnsiTheme="majorHAnsi" w:cstheme="majorHAnsi"/>
          <w:lang w:val="en-US"/>
        </w:rPr>
      </w:pPr>
      <w:r w:rsidRPr="00D51B08">
        <w:rPr>
          <w:rFonts w:asciiTheme="majorHAnsi" w:hAnsiTheme="majorHAnsi" w:cstheme="majorHAnsi"/>
          <w:i/>
          <w:iCs/>
          <w:lang w:val="en-US"/>
        </w:rPr>
        <w:t xml:space="preserve">Tahsiniyyah </w:t>
      </w:r>
      <w:r w:rsidRPr="00D51B08">
        <w:rPr>
          <w:rFonts w:asciiTheme="majorHAnsi" w:hAnsiTheme="majorHAnsi" w:cstheme="majorHAnsi"/>
          <w:lang w:val="en-US"/>
        </w:rPr>
        <w:t>(embellishment)</w:t>
      </w:r>
    </w:p>
  </w:footnote>
  <w:footnote w:id="7">
    <w:p w14:paraId="0DE56970" w14:textId="77777777" w:rsidR="00342376" w:rsidRPr="00D51B08" w:rsidRDefault="00342376" w:rsidP="00570259">
      <w:pPr>
        <w:pStyle w:val="NormalWeb"/>
        <w:snapToGrid w:val="0"/>
        <w:spacing w:beforeLines="60" w:before="144" w:beforeAutospacing="0" w:afterLines="60" w:after="144" w:afterAutospacing="0" w:line="276" w:lineRule="auto"/>
        <w:rPr>
          <w:rFonts w:asciiTheme="majorHAnsi" w:hAnsiTheme="majorHAnsi" w:cstheme="majorHAnsi"/>
          <w:sz w:val="20"/>
          <w:szCs w:val="20"/>
        </w:rPr>
      </w:pPr>
      <w:r w:rsidRPr="00D51B08">
        <w:rPr>
          <w:rStyle w:val="FootnoteReference"/>
          <w:rFonts w:asciiTheme="majorHAnsi" w:hAnsiTheme="majorHAnsi" w:cstheme="majorHAnsi"/>
          <w:sz w:val="20"/>
          <w:szCs w:val="20"/>
        </w:rPr>
        <w:footnoteRef/>
      </w:r>
      <w:r w:rsidRPr="00D51B08">
        <w:rPr>
          <w:rFonts w:asciiTheme="majorHAnsi" w:hAnsiTheme="majorHAnsi" w:cstheme="majorHAnsi"/>
          <w:sz w:val="20"/>
          <w:szCs w:val="20"/>
        </w:rPr>
        <w:t xml:space="preserve"> Abdullah bin 'Umar said:</w:t>
      </w:r>
      <w:r w:rsidRPr="00D51B08">
        <w:rPr>
          <w:rFonts w:asciiTheme="majorHAnsi" w:hAnsiTheme="majorHAnsi" w:cstheme="majorHAnsi"/>
          <w:i/>
          <w:iCs/>
          <w:sz w:val="20"/>
          <w:szCs w:val="20"/>
        </w:rPr>
        <w:br/>
        <w:t>"Umar bin Al-Khattab told me: 'While we were with the Messenger of Allah (SAW) one day, a man appeared before us whose clothes were exceedingly white and whose hair was exceedingly black. We could see no signs of travel on him, but none of us knew him. He came and sat before the Messenger of Allah [SAW], putting his knees against his, and placing his hands on his thighs, then he said: "O Muhammad, tell me about Islam." He said: "It is to bear witness that there is none worthy of worship except Allah (SWT) and that Muhammad (SAW) is the Messenger of Allah, to establish the Salah, to give Zakah, to fast Ramadan, and to perform Hajj to the House if you are able to bear the journey." He said: "You have spoken the truth." And we were amazed by his asking him, and then saying, "You have spoken the truth". Then he said: "Tell me about Faith." He said: "It is to believe in Allah (SWT), His Angels, His Books, His Messengers, the Last Day, and in the Divine Decree, its good and its bad." He said: "You have spoken the truth." He said: "Tell me about Al-Ihsan." He said: "It is to worship Allah (SWT) as if you can see Him, for although you cannot see Him, He can see you." He said: "Tell me about the Hour." He said: "The one who is asked about it does not know more about it than the one who is asking." He said: "Then tell me about its signs." He said: "When a slave woman gives birth to her mistress, when you see the barefoot, naked, destitute shepherds competing in making tall buildings.'" 'Umar said: 'Three (days) passed, then the Messenger of Allah (SAW) said to me: "O 'Umar, do you know who the questioner was?" I said: "Allah and His Messenger know best." He said: "That was Jibril, peace be upon him, who came to you to teach you the primary compone</w:t>
      </w:r>
      <w:r>
        <w:rPr>
          <w:rFonts w:asciiTheme="majorHAnsi" w:hAnsiTheme="majorHAnsi" w:cstheme="majorHAnsi"/>
          <w:i/>
          <w:iCs/>
          <w:sz w:val="20"/>
          <w:szCs w:val="20"/>
          <w:lang w:val="en-US"/>
        </w:rPr>
        <w:t>n</w:t>
      </w:r>
      <w:r w:rsidRPr="00D51B08">
        <w:rPr>
          <w:rFonts w:asciiTheme="majorHAnsi" w:hAnsiTheme="majorHAnsi" w:cstheme="majorHAnsi"/>
          <w:i/>
          <w:iCs/>
          <w:sz w:val="20"/>
          <w:szCs w:val="20"/>
        </w:rPr>
        <w:t xml:space="preserve">ts of your religion." </w:t>
      </w:r>
      <w:r w:rsidRPr="00D51B08">
        <w:rPr>
          <w:rFonts w:asciiTheme="majorHAnsi" w:hAnsiTheme="majorHAnsi" w:cstheme="majorHAnsi"/>
          <w:sz w:val="20"/>
          <w:szCs w:val="20"/>
        </w:rPr>
        <w:t xml:space="preserve">(Sunan an-Nasa’i, Hadith no. 4990) </w:t>
      </w:r>
    </w:p>
    <w:p w14:paraId="350AB40C" w14:textId="77777777" w:rsidR="00342376" w:rsidRPr="00D51B08" w:rsidRDefault="00342376" w:rsidP="00570259">
      <w:pPr>
        <w:pStyle w:val="NormalWeb"/>
        <w:snapToGrid w:val="0"/>
        <w:spacing w:beforeLines="60" w:before="144" w:beforeAutospacing="0" w:afterLines="60" w:after="144" w:afterAutospacing="0" w:line="276" w:lineRule="auto"/>
        <w:rPr>
          <w:rFonts w:asciiTheme="majorHAnsi" w:hAnsiTheme="majorHAnsi" w:cstheme="majorHAnsi"/>
          <w:sz w:val="20"/>
          <w:szCs w:val="20"/>
        </w:rPr>
      </w:pPr>
      <w:r w:rsidRPr="00D51B08">
        <w:rPr>
          <w:rFonts w:asciiTheme="majorHAnsi" w:hAnsiTheme="majorHAnsi" w:cstheme="majorHAnsi"/>
          <w:sz w:val="20"/>
          <w:szCs w:val="20"/>
        </w:rPr>
        <w:t xml:space="preserve">This </w:t>
      </w:r>
      <w:r w:rsidRPr="00D51B08">
        <w:rPr>
          <w:rFonts w:asciiTheme="majorHAnsi" w:hAnsiTheme="majorHAnsi" w:cstheme="majorHAnsi"/>
          <w:i/>
          <w:iCs/>
          <w:sz w:val="20"/>
          <w:szCs w:val="20"/>
          <w:lang w:val="en-US"/>
        </w:rPr>
        <w:t>h</w:t>
      </w:r>
      <w:r w:rsidRPr="00D51B08">
        <w:rPr>
          <w:rFonts w:asciiTheme="majorHAnsi" w:hAnsiTheme="majorHAnsi" w:cstheme="majorHAnsi"/>
          <w:i/>
          <w:iCs/>
          <w:sz w:val="20"/>
          <w:szCs w:val="20"/>
        </w:rPr>
        <w:t>adith</w:t>
      </w:r>
      <w:r w:rsidRPr="00D51B08">
        <w:rPr>
          <w:rFonts w:asciiTheme="majorHAnsi" w:hAnsiTheme="majorHAnsi" w:cstheme="majorHAnsi"/>
          <w:sz w:val="20"/>
          <w:szCs w:val="20"/>
        </w:rPr>
        <w:t xml:space="preserve"> </w:t>
      </w:r>
      <w:r w:rsidRPr="00D51B08">
        <w:rPr>
          <w:rFonts w:asciiTheme="majorHAnsi" w:hAnsiTheme="majorHAnsi" w:cstheme="majorHAnsi"/>
          <w:sz w:val="20"/>
          <w:szCs w:val="20"/>
          <w:lang w:val="en-US"/>
        </w:rPr>
        <w:t>represents</w:t>
      </w:r>
      <w:r w:rsidRPr="00D51B08">
        <w:rPr>
          <w:rFonts w:asciiTheme="majorHAnsi" w:hAnsiTheme="majorHAnsi" w:cstheme="majorHAnsi"/>
          <w:sz w:val="20"/>
          <w:szCs w:val="20"/>
        </w:rPr>
        <w:t xml:space="preserve"> the framework of the Islamic worldview concerning the elevation of the human</w:t>
      </w:r>
      <w:r w:rsidRPr="00D51B08">
        <w:rPr>
          <w:rFonts w:asciiTheme="majorHAnsi" w:hAnsiTheme="majorHAnsi" w:cstheme="majorHAnsi"/>
          <w:sz w:val="20"/>
          <w:szCs w:val="20"/>
          <w:lang w:val="en-US"/>
        </w:rPr>
        <w:t xml:space="preserve"> development</w:t>
      </w:r>
      <w:r w:rsidRPr="00D51B08">
        <w:rPr>
          <w:rFonts w:asciiTheme="majorHAnsi" w:hAnsiTheme="majorHAnsi" w:cstheme="majorHAnsi"/>
          <w:sz w:val="20"/>
          <w:szCs w:val="20"/>
        </w:rPr>
        <w:t xml:space="preserve"> well-being status. </w:t>
      </w:r>
      <w:r w:rsidRPr="00D51B08">
        <w:rPr>
          <w:rFonts w:asciiTheme="majorHAnsi" w:hAnsiTheme="majorHAnsi" w:cstheme="majorHAnsi"/>
          <w:i/>
          <w:iCs/>
          <w:sz w:val="20"/>
          <w:szCs w:val="20"/>
        </w:rPr>
        <w:t xml:space="preserve">Islam </w:t>
      </w:r>
      <w:r w:rsidRPr="00D51B08">
        <w:rPr>
          <w:rFonts w:asciiTheme="majorHAnsi" w:hAnsiTheme="majorHAnsi" w:cstheme="majorHAnsi"/>
          <w:sz w:val="20"/>
          <w:szCs w:val="20"/>
        </w:rPr>
        <w:t xml:space="preserve">represents the external system (Shariah) that governs the humankind, </w:t>
      </w:r>
      <w:r w:rsidRPr="00D51B08">
        <w:rPr>
          <w:rFonts w:asciiTheme="majorHAnsi" w:hAnsiTheme="majorHAnsi" w:cstheme="majorHAnsi"/>
          <w:i/>
          <w:iCs/>
          <w:sz w:val="20"/>
          <w:szCs w:val="20"/>
        </w:rPr>
        <w:t xml:space="preserve">Iman </w:t>
      </w:r>
      <w:r w:rsidRPr="00D51B08">
        <w:rPr>
          <w:rFonts w:asciiTheme="majorHAnsi" w:hAnsiTheme="majorHAnsi" w:cstheme="majorHAnsi"/>
          <w:sz w:val="20"/>
          <w:szCs w:val="20"/>
        </w:rPr>
        <w:t xml:space="preserve">signifies the internal guiding system and </w:t>
      </w:r>
      <w:r w:rsidRPr="00D51B08">
        <w:rPr>
          <w:rFonts w:asciiTheme="majorHAnsi" w:hAnsiTheme="majorHAnsi" w:cstheme="majorHAnsi"/>
          <w:i/>
          <w:iCs/>
          <w:sz w:val="20"/>
          <w:szCs w:val="20"/>
        </w:rPr>
        <w:t xml:space="preserve">Ihsan </w:t>
      </w:r>
      <w:r w:rsidRPr="00D51B08">
        <w:rPr>
          <w:rFonts w:asciiTheme="majorHAnsi" w:hAnsiTheme="majorHAnsi" w:cstheme="majorHAnsi"/>
          <w:sz w:val="20"/>
          <w:szCs w:val="20"/>
        </w:rPr>
        <w:t>epitomi</w:t>
      </w:r>
      <w:r>
        <w:rPr>
          <w:rFonts w:asciiTheme="majorHAnsi" w:hAnsiTheme="majorHAnsi" w:cstheme="majorHAnsi"/>
          <w:sz w:val="20"/>
          <w:szCs w:val="20"/>
          <w:lang w:val="en-US"/>
        </w:rPr>
        <w:t>z</w:t>
      </w:r>
      <w:r w:rsidRPr="00D51B08">
        <w:rPr>
          <w:rFonts w:asciiTheme="majorHAnsi" w:hAnsiTheme="majorHAnsi" w:cstheme="majorHAnsi"/>
          <w:sz w:val="20"/>
          <w:szCs w:val="20"/>
        </w:rPr>
        <w:t xml:space="preserve">es both the external and internal systems to </w:t>
      </w:r>
      <w:r>
        <w:rPr>
          <w:rFonts w:asciiTheme="majorHAnsi" w:hAnsiTheme="majorHAnsi" w:cstheme="majorHAnsi"/>
          <w:sz w:val="20"/>
          <w:szCs w:val="20"/>
          <w:lang w:val="en-US"/>
        </w:rPr>
        <w:t xml:space="preserve">the </w:t>
      </w:r>
      <w:r w:rsidRPr="00D51B08">
        <w:rPr>
          <w:rFonts w:asciiTheme="majorHAnsi" w:hAnsiTheme="majorHAnsi" w:cstheme="majorHAnsi"/>
          <w:sz w:val="20"/>
          <w:szCs w:val="20"/>
        </w:rPr>
        <w:t xml:space="preserve">level of excellence (Sumeit, 2010). </w:t>
      </w:r>
    </w:p>
  </w:footnote>
  <w:footnote w:id="8">
    <w:p w14:paraId="76A9F956" w14:textId="77777777" w:rsidR="00342376" w:rsidRPr="00D51B08" w:rsidRDefault="00342376" w:rsidP="00570259">
      <w:pPr>
        <w:snapToGrid w:val="0"/>
        <w:spacing w:beforeLines="60" w:before="144" w:afterLines="60" w:after="144" w:line="276" w:lineRule="auto"/>
        <w:rPr>
          <w:rFonts w:asciiTheme="majorHAnsi" w:hAnsiTheme="majorHAnsi" w:cstheme="majorHAnsi"/>
          <w:sz w:val="20"/>
          <w:szCs w:val="20"/>
        </w:rPr>
      </w:pPr>
      <w:r w:rsidRPr="00D51B08">
        <w:rPr>
          <w:rStyle w:val="FootnoteReference"/>
          <w:rFonts w:asciiTheme="majorHAnsi" w:hAnsiTheme="majorHAnsi" w:cstheme="majorHAnsi"/>
          <w:sz w:val="20"/>
          <w:szCs w:val="20"/>
        </w:rPr>
        <w:footnoteRef/>
      </w:r>
      <w:r w:rsidRPr="00D51B08">
        <w:rPr>
          <w:rFonts w:asciiTheme="majorHAnsi" w:hAnsiTheme="majorHAnsi" w:cstheme="majorHAnsi"/>
          <w:sz w:val="20"/>
          <w:szCs w:val="20"/>
        </w:rPr>
        <w:t xml:space="preserve"> </w:t>
      </w:r>
      <w:r>
        <w:rPr>
          <w:rFonts w:asciiTheme="majorHAnsi" w:hAnsiTheme="majorHAnsi" w:cstheme="majorHAnsi"/>
          <w:sz w:val="20"/>
          <w:szCs w:val="20"/>
        </w:rPr>
        <w:t xml:space="preserve">See </w:t>
      </w:r>
      <w:hyperlink r:id="rId3" w:history="1">
        <w:r w:rsidRPr="00784797">
          <w:rPr>
            <w:rStyle w:val="Hyperlink"/>
            <w:rFonts w:asciiTheme="majorHAnsi" w:hAnsiTheme="majorHAnsi" w:cstheme="majorHAnsi"/>
            <w:sz w:val="20"/>
            <w:szCs w:val="20"/>
          </w:rPr>
          <w:t>https://www.islamic-relief.org/climate-champions-islamic-reliefs-global-climate-action/</w:t>
        </w:r>
      </w:hyperlink>
    </w:p>
  </w:footnote>
  <w:footnote w:id="9">
    <w:p w14:paraId="71CF554B" w14:textId="77777777" w:rsidR="00342376" w:rsidRPr="00D51B08" w:rsidRDefault="00342376" w:rsidP="00570259">
      <w:pPr>
        <w:snapToGrid w:val="0"/>
        <w:spacing w:beforeLines="60" w:before="144" w:afterLines="60" w:after="144" w:line="276" w:lineRule="auto"/>
        <w:rPr>
          <w:rFonts w:asciiTheme="majorHAnsi" w:hAnsiTheme="majorHAnsi" w:cstheme="majorHAnsi"/>
          <w:sz w:val="20"/>
          <w:szCs w:val="20"/>
        </w:rPr>
      </w:pPr>
      <w:r w:rsidRPr="00D51B08">
        <w:rPr>
          <w:rStyle w:val="FootnoteReference"/>
          <w:rFonts w:asciiTheme="majorHAnsi" w:hAnsiTheme="majorHAnsi" w:cstheme="majorHAnsi"/>
          <w:sz w:val="20"/>
          <w:szCs w:val="20"/>
        </w:rPr>
        <w:footnoteRef/>
      </w:r>
      <w:r w:rsidRPr="00D51B08">
        <w:rPr>
          <w:rFonts w:asciiTheme="majorHAnsi" w:hAnsiTheme="majorHAnsi" w:cstheme="majorHAnsi"/>
          <w:sz w:val="20"/>
          <w:szCs w:val="20"/>
        </w:rPr>
        <w:t xml:space="preserve"> See</w:t>
      </w:r>
      <w:r>
        <w:rPr>
          <w:rFonts w:asciiTheme="majorHAnsi" w:hAnsiTheme="majorHAnsi" w:cstheme="majorHAnsi"/>
          <w:sz w:val="20"/>
          <w:szCs w:val="20"/>
        </w:rPr>
        <w:t xml:space="preserve"> </w:t>
      </w:r>
      <w:hyperlink r:id="rId4" w:history="1">
        <w:r w:rsidRPr="00784797">
          <w:rPr>
            <w:rStyle w:val="Hyperlink"/>
            <w:rFonts w:asciiTheme="majorHAnsi" w:hAnsiTheme="majorHAnsi" w:cstheme="majorHAnsi"/>
            <w:sz w:val="20"/>
            <w:szCs w:val="20"/>
          </w:rPr>
          <w:t>https://www.muslimglobalrelief.org/water/</w:t>
        </w:r>
      </w:hyperlink>
    </w:p>
  </w:footnote>
  <w:footnote w:id="10">
    <w:p w14:paraId="3A082498" w14:textId="77777777" w:rsidR="00342376" w:rsidRPr="00D51B08" w:rsidRDefault="00342376" w:rsidP="00570259">
      <w:pPr>
        <w:snapToGrid w:val="0"/>
        <w:spacing w:beforeLines="60" w:before="144" w:afterLines="60" w:after="144" w:line="276" w:lineRule="auto"/>
        <w:rPr>
          <w:rFonts w:asciiTheme="majorHAnsi" w:hAnsiTheme="majorHAnsi" w:cstheme="majorHAnsi"/>
          <w:sz w:val="20"/>
          <w:szCs w:val="20"/>
        </w:rPr>
      </w:pPr>
      <w:r w:rsidRPr="00D51B08">
        <w:rPr>
          <w:rStyle w:val="FootnoteReference"/>
          <w:rFonts w:asciiTheme="majorHAnsi" w:hAnsiTheme="majorHAnsi" w:cstheme="majorHAnsi"/>
          <w:sz w:val="20"/>
          <w:szCs w:val="20"/>
        </w:rPr>
        <w:footnoteRef/>
      </w:r>
      <w:r w:rsidRPr="00D51B08">
        <w:rPr>
          <w:rFonts w:asciiTheme="majorHAnsi" w:hAnsiTheme="majorHAnsi" w:cstheme="majorHAnsi"/>
          <w:sz w:val="20"/>
          <w:szCs w:val="20"/>
        </w:rPr>
        <w:t xml:space="preserve"> </w:t>
      </w:r>
      <w:r>
        <w:rPr>
          <w:rFonts w:asciiTheme="majorHAnsi" w:hAnsiTheme="majorHAnsi" w:cstheme="majorHAnsi"/>
          <w:sz w:val="20"/>
          <w:szCs w:val="20"/>
        </w:rPr>
        <w:t xml:space="preserve">See </w:t>
      </w:r>
      <w:hyperlink r:id="rId5" w:history="1">
        <w:r w:rsidRPr="00784797">
          <w:rPr>
            <w:rStyle w:val="Hyperlink"/>
            <w:rFonts w:asciiTheme="majorHAnsi" w:hAnsiTheme="majorHAnsi" w:cstheme="majorHAnsi"/>
            <w:sz w:val="20"/>
            <w:szCs w:val="20"/>
          </w:rPr>
          <w:t>https://www.islamic-relief.org/category/what-we-do/microfinance-and-livelihoods/</w:t>
        </w:r>
      </w:hyperlink>
    </w:p>
  </w:footnote>
  <w:footnote w:id="11">
    <w:p w14:paraId="6570A8EB" w14:textId="77777777" w:rsidR="00342376" w:rsidRPr="00D51B08" w:rsidRDefault="00342376" w:rsidP="00570259">
      <w:pPr>
        <w:snapToGrid w:val="0"/>
        <w:spacing w:beforeLines="60" w:before="144" w:afterLines="60" w:after="144" w:line="276" w:lineRule="auto"/>
        <w:rPr>
          <w:rFonts w:asciiTheme="majorHAnsi" w:hAnsiTheme="majorHAnsi" w:cstheme="majorHAnsi"/>
          <w:sz w:val="20"/>
          <w:szCs w:val="20"/>
        </w:rPr>
      </w:pPr>
      <w:r w:rsidRPr="00D51B08">
        <w:rPr>
          <w:rStyle w:val="FootnoteReference"/>
          <w:rFonts w:asciiTheme="majorHAnsi" w:hAnsiTheme="majorHAnsi" w:cstheme="majorHAnsi"/>
          <w:sz w:val="20"/>
          <w:szCs w:val="20"/>
        </w:rPr>
        <w:footnoteRef/>
      </w:r>
      <w:r w:rsidRPr="00D51B08">
        <w:rPr>
          <w:rFonts w:asciiTheme="majorHAnsi" w:hAnsiTheme="majorHAnsi" w:cstheme="majorHAnsi"/>
          <w:sz w:val="20"/>
          <w:szCs w:val="20"/>
        </w:rPr>
        <w:t xml:space="preserve"> </w:t>
      </w:r>
      <w:r>
        <w:rPr>
          <w:rFonts w:asciiTheme="majorHAnsi" w:hAnsiTheme="majorHAnsi" w:cstheme="majorHAnsi"/>
          <w:sz w:val="20"/>
          <w:szCs w:val="20"/>
        </w:rPr>
        <w:t xml:space="preserve">See </w:t>
      </w:r>
      <w:hyperlink r:id="rId6" w:history="1">
        <w:r w:rsidRPr="00784797">
          <w:rPr>
            <w:rStyle w:val="Hyperlink"/>
            <w:rFonts w:asciiTheme="majorHAnsi" w:hAnsiTheme="majorHAnsi" w:cstheme="majorHAnsi"/>
            <w:sz w:val="20"/>
            <w:szCs w:val="20"/>
          </w:rPr>
          <w:t>https://www.muslimaid.org/appeals/education-forever/</w:t>
        </w:r>
      </w:hyperlink>
    </w:p>
    <w:p w14:paraId="2E0D2713" w14:textId="77777777" w:rsidR="00342376" w:rsidRPr="00D51B08" w:rsidRDefault="00342376" w:rsidP="00570259">
      <w:pPr>
        <w:pStyle w:val="FootnoteText"/>
        <w:spacing w:beforeLines="60" w:before="144" w:afterLines="60" w:after="144" w:line="276" w:lineRule="auto"/>
        <w:rPr>
          <w:sz w:val="21"/>
          <w:szCs w:val="21"/>
        </w:rPr>
      </w:pPr>
    </w:p>
  </w:footnote>
  <w:footnote w:id="12">
    <w:p w14:paraId="49A0C65D" w14:textId="77777777" w:rsidR="00342376" w:rsidRDefault="00342376" w:rsidP="00570259">
      <w:pPr>
        <w:pStyle w:val="FootnoteText"/>
        <w:rPr>
          <w:rFonts w:asciiTheme="majorHAnsi" w:hAnsiTheme="majorHAnsi" w:cstheme="majorHAnsi"/>
          <w:lang w:val="en-US"/>
        </w:rPr>
      </w:pPr>
      <w:r>
        <w:rPr>
          <w:rStyle w:val="FootnoteReference"/>
        </w:rPr>
        <w:footnoteRef/>
      </w:r>
      <w:r>
        <w:t xml:space="preserve"> </w:t>
      </w:r>
      <w:r>
        <w:rPr>
          <w:rFonts w:asciiTheme="majorHAnsi" w:hAnsiTheme="majorHAnsi" w:cstheme="majorHAnsi"/>
          <w:lang w:val="en-US"/>
        </w:rPr>
        <w:t>According to Ajem and Memon (2011), there are seven main Islamic pedagogy principles, namely:</w:t>
      </w:r>
    </w:p>
    <w:p w14:paraId="37E6BC0C" w14:textId="77777777" w:rsidR="00342376" w:rsidRPr="00E46AC5" w:rsidRDefault="00342376" w:rsidP="00570259">
      <w:pPr>
        <w:pStyle w:val="FootnoteText"/>
        <w:numPr>
          <w:ilvl w:val="0"/>
          <w:numId w:val="17"/>
        </w:numPr>
        <w:rPr>
          <w:lang w:val="en-US"/>
        </w:rPr>
      </w:pPr>
      <w:r w:rsidRPr="00E46AC5">
        <w:rPr>
          <w:rFonts w:asciiTheme="majorHAnsi" w:hAnsiTheme="majorHAnsi" w:cstheme="majorHAnsi"/>
          <w:lang w:val="en-US"/>
        </w:rPr>
        <w:t>Conviction</w:t>
      </w:r>
      <w:r>
        <w:rPr>
          <w:rFonts w:asciiTheme="majorHAnsi" w:hAnsiTheme="majorHAnsi" w:cstheme="majorHAnsi"/>
          <w:lang w:val="en-US"/>
        </w:rPr>
        <w:t xml:space="preserve"> of the primal purpose and universal trust assigned to mankind</w:t>
      </w:r>
    </w:p>
    <w:p w14:paraId="29C8DF2B" w14:textId="77777777" w:rsidR="00342376" w:rsidRPr="00E46AC5" w:rsidRDefault="00342376" w:rsidP="00570259">
      <w:pPr>
        <w:pStyle w:val="FootnoteText"/>
        <w:numPr>
          <w:ilvl w:val="0"/>
          <w:numId w:val="17"/>
        </w:numPr>
        <w:rPr>
          <w:lang w:val="en-US"/>
        </w:rPr>
      </w:pPr>
      <w:r>
        <w:rPr>
          <w:rFonts w:asciiTheme="majorHAnsi" w:hAnsiTheme="majorHAnsi" w:cstheme="majorHAnsi"/>
          <w:lang w:val="en-US"/>
        </w:rPr>
        <w:t>The primacy of knowledge and seeking it</w:t>
      </w:r>
    </w:p>
    <w:p w14:paraId="1A26410D" w14:textId="77777777" w:rsidR="00342376" w:rsidRPr="00E46AC5" w:rsidRDefault="00342376" w:rsidP="00570259">
      <w:pPr>
        <w:pStyle w:val="FootnoteText"/>
        <w:numPr>
          <w:ilvl w:val="0"/>
          <w:numId w:val="17"/>
        </w:numPr>
        <w:rPr>
          <w:lang w:val="en-US"/>
        </w:rPr>
      </w:pPr>
      <w:r>
        <w:rPr>
          <w:rFonts w:asciiTheme="majorHAnsi" w:hAnsiTheme="majorHAnsi" w:cstheme="majorHAnsi"/>
          <w:lang w:val="en-US"/>
        </w:rPr>
        <w:t>The learning environment is sacred, disciplined, caring, and functional</w:t>
      </w:r>
    </w:p>
    <w:p w14:paraId="489A4DB0" w14:textId="77777777" w:rsidR="00342376" w:rsidRPr="00E46AC5" w:rsidRDefault="00342376" w:rsidP="00570259">
      <w:pPr>
        <w:pStyle w:val="FootnoteText"/>
        <w:numPr>
          <w:ilvl w:val="0"/>
          <w:numId w:val="17"/>
        </w:numPr>
        <w:rPr>
          <w:lang w:val="en-US"/>
        </w:rPr>
      </w:pPr>
      <w:r>
        <w:rPr>
          <w:rFonts w:asciiTheme="majorHAnsi" w:hAnsiTheme="majorHAnsi" w:cstheme="majorHAnsi"/>
          <w:lang w:val="en-US"/>
        </w:rPr>
        <w:t>The responsibility to act upon what one learns and teaches</w:t>
      </w:r>
    </w:p>
    <w:p w14:paraId="62A33B17" w14:textId="77777777" w:rsidR="00342376" w:rsidRPr="00E46AC5" w:rsidRDefault="00342376" w:rsidP="00570259">
      <w:pPr>
        <w:pStyle w:val="FootnoteText"/>
        <w:numPr>
          <w:ilvl w:val="0"/>
          <w:numId w:val="17"/>
        </w:numPr>
        <w:rPr>
          <w:lang w:val="en-US"/>
        </w:rPr>
      </w:pPr>
      <w:r>
        <w:rPr>
          <w:rFonts w:asciiTheme="majorHAnsi" w:hAnsiTheme="majorHAnsi" w:cstheme="majorHAnsi"/>
          <w:lang w:val="en-US"/>
        </w:rPr>
        <w:t>The religious responsibility for self-assessment and accountability</w:t>
      </w:r>
    </w:p>
    <w:p w14:paraId="2B1EDF9C" w14:textId="77777777" w:rsidR="00342376" w:rsidRDefault="00342376" w:rsidP="00570259">
      <w:pPr>
        <w:pStyle w:val="FootnoteText"/>
        <w:numPr>
          <w:ilvl w:val="0"/>
          <w:numId w:val="17"/>
        </w:numPr>
        <w:rPr>
          <w:lang w:val="en-US"/>
        </w:rPr>
      </w:pPr>
      <w:r>
        <w:rPr>
          <w:rFonts w:asciiTheme="majorHAnsi" w:hAnsiTheme="majorHAnsi" w:cstheme="majorHAnsi"/>
          <w:lang w:val="en-US"/>
        </w:rPr>
        <w:t>Instruction is in accordance with students’ aptitude, pace, and learning style</w:t>
      </w:r>
    </w:p>
    <w:p w14:paraId="5A753FFB" w14:textId="77777777" w:rsidR="00342376" w:rsidRPr="00E46AC5" w:rsidRDefault="00342376" w:rsidP="00570259">
      <w:pPr>
        <w:pStyle w:val="FootnoteText"/>
        <w:numPr>
          <w:ilvl w:val="0"/>
          <w:numId w:val="17"/>
        </w:numPr>
        <w:rPr>
          <w:lang w:val="en-US"/>
        </w:rPr>
      </w:pPr>
      <w:r w:rsidRPr="00E46AC5">
        <w:rPr>
          <w:rFonts w:asciiTheme="majorHAnsi" w:hAnsiTheme="majorHAnsi" w:cstheme="majorHAnsi"/>
          <w:lang w:val="en-US"/>
        </w:rPr>
        <w:t>Formal</w:t>
      </w:r>
      <w:r>
        <w:rPr>
          <w:rFonts w:asciiTheme="majorHAnsi" w:hAnsiTheme="majorHAnsi" w:cstheme="majorHAnsi"/>
          <w:lang w:val="en-US"/>
        </w:rPr>
        <w:t xml:space="preserve"> instruction is occasional, nurtures reflection, and evokes a sense of awe and wonder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A48E1"/>
    <w:multiLevelType w:val="hybridMultilevel"/>
    <w:tmpl w:val="4B8A3A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C9437C"/>
    <w:multiLevelType w:val="hybridMultilevel"/>
    <w:tmpl w:val="3892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16CC"/>
    <w:multiLevelType w:val="hybridMultilevel"/>
    <w:tmpl w:val="65087778"/>
    <w:lvl w:ilvl="0" w:tplc="C99CDA58">
      <w:start w:val="1"/>
      <w:numFmt w:val="bullet"/>
      <w:lvlText w:val="•"/>
      <w:lvlJc w:val="left"/>
      <w:pPr>
        <w:tabs>
          <w:tab w:val="num" w:pos="720"/>
        </w:tabs>
        <w:ind w:left="720" w:hanging="360"/>
      </w:pPr>
      <w:rPr>
        <w:rFonts w:ascii="Arial" w:hAnsi="Arial" w:hint="default"/>
      </w:rPr>
    </w:lvl>
    <w:lvl w:ilvl="1" w:tplc="06C4FCEC" w:tentative="1">
      <w:start w:val="1"/>
      <w:numFmt w:val="bullet"/>
      <w:lvlText w:val="•"/>
      <w:lvlJc w:val="left"/>
      <w:pPr>
        <w:tabs>
          <w:tab w:val="num" w:pos="1440"/>
        </w:tabs>
        <w:ind w:left="1440" w:hanging="360"/>
      </w:pPr>
      <w:rPr>
        <w:rFonts w:ascii="Arial" w:hAnsi="Arial" w:hint="default"/>
      </w:rPr>
    </w:lvl>
    <w:lvl w:ilvl="2" w:tplc="B49C3832" w:tentative="1">
      <w:start w:val="1"/>
      <w:numFmt w:val="bullet"/>
      <w:lvlText w:val="•"/>
      <w:lvlJc w:val="left"/>
      <w:pPr>
        <w:tabs>
          <w:tab w:val="num" w:pos="2160"/>
        </w:tabs>
        <w:ind w:left="2160" w:hanging="360"/>
      </w:pPr>
      <w:rPr>
        <w:rFonts w:ascii="Arial" w:hAnsi="Arial" w:hint="default"/>
      </w:rPr>
    </w:lvl>
    <w:lvl w:ilvl="3" w:tplc="30E2ABA0" w:tentative="1">
      <w:start w:val="1"/>
      <w:numFmt w:val="bullet"/>
      <w:lvlText w:val="•"/>
      <w:lvlJc w:val="left"/>
      <w:pPr>
        <w:tabs>
          <w:tab w:val="num" w:pos="2880"/>
        </w:tabs>
        <w:ind w:left="2880" w:hanging="360"/>
      </w:pPr>
      <w:rPr>
        <w:rFonts w:ascii="Arial" w:hAnsi="Arial" w:hint="default"/>
      </w:rPr>
    </w:lvl>
    <w:lvl w:ilvl="4" w:tplc="A4725838" w:tentative="1">
      <w:start w:val="1"/>
      <w:numFmt w:val="bullet"/>
      <w:lvlText w:val="•"/>
      <w:lvlJc w:val="left"/>
      <w:pPr>
        <w:tabs>
          <w:tab w:val="num" w:pos="3600"/>
        </w:tabs>
        <w:ind w:left="3600" w:hanging="360"/>
      </w:pPr>
      <w:rPr>
        <w:rFonts w:ascii="Arial" w:hAnsi="Arial" w:hint="default"/>
      </w:rPr>
    </w:lvl>
    <w:lvl w:ilvl="5" w:tplc="C1AC6060" w:tentative="1">
      <w:start w:val="1"/>
      <w:numFmt w:val="bullet"/>
      <w:lvlText w:val="•"/>
      <w:lvlJc w:val="left"/>
      <w:pPr>
        <w:tabs>
          <w:tab w:val="num" w:pos="4320"/>
        </w:tabs>
        <w:ind w:left="4320" w:hanging="360"/>
      </w:pPr>
      <w:rPr>
        <w:rFonts w:ascii="Arial" w:hAnsi="Arial" w:hint="default"/>
      </w:rPr>
    </w:lvl>
    <w:lvl w:ilvl="6" w:tplc="C5F85B9E" w:tentative="1">
      <w:start w:val="1"/>
      <w:numFmt w:val="bullet"/>
      <w:lvlText w:val="•"/>
      <w:lvlJc w:val="left"/>
      <w:pPr>
        <w:tabs>
          <w:tab w:val="num" w:pos="5040"/>
        </w:tabs>
        <w:ind w:left="5040" w:hanging="360"/>
      </w:pPr>
      <w:rPr>
        <w:rFonts w:ascii="Arial" w:hAnsi="Arial" w:hint="default"/>
      </w:rPr>
    </w:lvl>
    <w:lvl w:ilvl="7" w:tplc="384E8DC8" w:tentative="1">
      <w:start w:val="1"/>
      <w:numFmt w:val="bullet"/>
      <w:lvlText w:val="•"/>
      <w:lvlJc w:val="left"/>
      <w:pPr>
        <w:tabs>
          <w:tab w:val="num" w:pos="5760"/>
        </w:tabs>
        <w:ind w:left="5760" w:hanging="360"/>
      </w:pPr>
      <w:rPr>
        <w:rFonts w:ascii="Arial" w:hAnsi="Arial" w:hint="default"/>
      </w:rPr>
    </w:lvl>
    <w:lvl w:ilvl="8" w:tplc="C2A4BF2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0F5A97"/>
    <w:multiLevelType w:val="hybridMultilevel"/>
    <w:tmpl w:val="52C6E7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9524F"/>
    <w:multiLevelType w:val="hybridMultilevel"/>
    <w:tmpl w:val="135AEA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25C61CD"/>
    <w:multiLevelType w:val="hybridMultilevel"/>
    <w:tmpl w:val="EC844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042D0"/>
    <w:multiLevelType w:val="hybridMultilevel"/>
    <w:tmpl w:val="E180AE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8B612A"/>
    <w:multiLevelType w:val="hybridMultilevel"/>
    <w:tmpl w:val="BC6E8262"/>
    <w:lvl w:ilvl="0" w:tplc="5962580E">
      <w:start w:val="1"/>
      <w:numFmt w:val="bullet"/>
      <w:lvlText w:val="•"/>
      <w:lvlJc w:val="left"/>
      <w:pPr>
        <w:tabs>
          <w:tab w:val="num" w:pos="720"/>
        </w:tabs>
        <w:ind w:left="720" w:hanging="360"/>
      </w:pPr>
      <w:rPr>
        <w:rFonts w:ascii="Arial" w:hAnsi="Arial" w:hint="default"/>
      </w:rPr>
    </w:lvl>
    <w:lvl w:ilvl="1" w:tplc="84E0EE28" w:tentative="1">
      <w:start w:val="1"/>
      <w:numFmt w:val="bullet"/>
      <w:lvlText w:val="•"/>
      <w:lvlJc w:val="left"/>
      <w:pPr>
        <w:tabs>
          <w:tab w:val="num" w:pos="1440"/>
        </w:tabs>
        <w:ind w:left="1440" w:hanging="360"/>
      </w:pPr>
      <w:rPr>
        <w:rFonts w:ascii="Arial" w:hAnsi="Arial" w:hint="default"/>
      </w:rPr>
    </w:lvl>
    <w:lvl w:ilvl="2" w:tplc="28583B0A" w:tentative="1">
      <w:start w:val="1"/>
      <w:numFmt w:val="bullet"/>
      <w:lvlText w:val="•"/>
      <w:lvlJc w:val="left"/>
      <w:pPr>
        <w:tabs>
          <w:tab w:val="num" w:pos="2160"/>
        </w:tabs>
        <w:ind w:left="2160" w:hanging="360"/>
      </w:pPr>
      <w:rPr>
        <w:rFonts w:ascii="Arial" w:hAnsi="Arial" w:hint="default"/>
      </w:rPr>
    </w:lvl>
    <w:lvl w:ilvl="3" w:tplc="391EC218" w:tentative="1">
      <w:start w:val="1"/>
      <w:numFmt w:val="bullet"/>
      <w:lvlText w:val="•"/>
      <w:lvlJc w:val="left"/>
      <w:pPr>
        <w:tabs>
          <w:tab w:val="num" w:pos="2880"/>
        </w:tabs>
        <w:ind w:left="2880" w:hanging="360"/>
      </w:pPr>
      <w:rPr>
        <w:rFonts w:ascii="Arial" w:hAnsi="Arial" w:hint="default"/>
      </w:rPr>
    </w:lvl>
    <w:lvl w:ilvl="4" w:tplc="C630D970" w:tentative="1">
      <w:start w:val="1"/>
      <w:numFmt w:val="bullet"/>
      <w:lvlText w:val="•"/>
      <w:lvlJc w:val="left"/>
      <w:pPr>
        <w:tabs>
          <w:tab w:val="num" w:pos="3600"/>
        </w:tabs>
        <w:ind w:left="3600" w:hanging="360"/>
      </w:pPr>
      <w:rPr>
        <w:rFonts w:ascii="Arial" w:hAnsi="Arial" w:hint="default"/>
      </w:rPr>
    </w:lvl>
    <w:lvl w:ilvl="5" w:tplc="44DAE8F2" w:tentative="1">
      <w:start w:val="1"/>
      <w:numFmt w:val="bullet"/>
      <w:lvlText w:val="•"/>
      <w:lvlJc w:val="left"/>
      <w:pPr>
        <w:tabs>
          <w:tab w:val="num" w:pos="4320"/>
        </w:tabs>
        <w:ind w:left="4320" w:hanging="360"/>
      </w:pPr>
      <w:rPr>
        <w:rFonts w:ascii="Arial" w:hAnsi="Arial" w:hint="default"/>
      </w:rPr>
    </w:lvl>
    <w:lvl w:ilvl="6" w:tplc="487401F8" w:tentative="1">
      <w:start w:val="1"/>
      <w:numFmt w:val="bullet"/>
      <w:lvlText w:val="•"/>
      <w:lvlJc w:val="left"/>
      <w:pPr>
        <w:tabs>
          <w:tab w:val="num" w:pos="5040"/>
        </w:tabs>
        <w:ind w:left="5040" w:hanging="360"/>
      </w:pPr>
      <w:rPr>
        <w:rFonts w:ascii="Arial" w:hAnsi="Arial" w:hint="default"/>
      </w:rPr>
    </w:lvl>
    <w:lvl w:ilvl="7" w:tplc="D6B2FFEE" w:tentative="1">
      <w:start w:val="1"/>
      <w:numFmt w:val="bullet"/>
      <w:lvlText w:val="•"/>
      <w:lvlJc w:val="left"/>
      <w:pPr>
        <w:tabs>
          <w:tab w:val="num" w:pos="5760"/>
        </w:tabs>
        <w:ind w:left="5760" w:hanging="360"/>
      </w:pPr>
      <w:rPr>
        <w:rFonts w:ascii="Arial" w:hAnsi="Arial" w:hint="default"/>
      </w:rPr>
    </w:lvl>
    <w:lvl w:ilvl="8" w:tplc="F2AA11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5F81F18"/>
    <w:multiLevelType w:val="hybridMultilevel"/>
    <w:tmpl w:val="4A782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EF08C7"/>
    <w:multiLevelType w:val="hybridMultilevel"/>
    <w:tmpl w:val="E416E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7C11B7"/>
    <w:multiLevelType w:val="hybridMultilevel"/>
    <w:tmpl w:val="A1443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9F631B"/>
    <w:multiLevelType w:val="hybridMultilevel"/>
    <w:tmpl w:val="BBF2E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6A4AC1"/>
    <w:multiLevelType w:val="multilevel"/>
    <w:tmpl w:val="58C02C2C"/>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266702"/>
    <w:multiLevelType w:val="hybridMultilevel"/>
    <w:tmpl w:val="83049C1A"/>
    <w:lvl w:ilvl="0" w:tplc="1EBEAC7A">
      <w:start w:val="1"/>
      <w:numFmt w:val="decimal"/>
      <w:lvlText w:val="%1."/>
      <w:lvlJc w:val="left"/>
      <w:pPr>
        <w:ind w:left="720" w:hanging="360"/>
      </w:pPr>
      <w:rPr>
        <w:rFonts w:asciiTheme="majorHAnsi" w:hAnsiTheme="majorHAnsi" w:cstheme="maj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D208BC"/>
    <w:multiLevelType w:val="hybridMultilevel"/>
    <w:tmpl w:val="6B02CE2A"/>
    <w:lvl w:ilvl="0" w:tplc="A49ECDA2">
      <w:start w:val="1"/>
      <w:numFmt w:val="bullet"/>
      <w:lvlText w:val="•"/>
      <w:lvlJc w:val="left"/>
      <w:pPr>
        <w:tabs>
          <w:tab w:val="num" w:pos="720"/>
        </w:tabs>
        <w:ind w:left="720" w:hanging="360"/>
      </w:pPr>
      <w:rPr>
        <w:rFonts w:ascii="Arial" w:hAnsi="Arial" w:hint="default"/>
      </w:rPr>
    </w:lvl>
    <w:lvl w:ilvl="1" w:tplc="47145208" w:tentative="1">
      <w:start w:val="1"/>
      <w:numFmt w:val="bullet"/>
      <w:lvlText w:val="•"/>
      <w:lvlJc w:val="left"/>
      <w:pPr>
        <w:tabs>
          <w:tab w:val="num" w:pos="1440"/>
        </w:tabs>
        <w:ind w:left="1440" w:hanging="360"/>
      </w:pPr>
      <w:rPr>
        <w:rFonts w:ascii="Arial" w:hAnsi="Arial" w:hint="default"/>
      </w:rPr>
    </w:lvl>
    <w:lvl w:ilvl="2" w:tplc="5C769BDC" w:tentative="1">
      <w:start w:val="1"/>
      <w:numFmt w:val="bullet"/>
      <w:lvlText w:val="•"/>
      <w:lvlJc w:val="left"/>
      <w:pPr>
        <w:tabs>
          <w:tab w:val="num" w:pos="2160"/>
        </w:tabs>
        <w:ind w:left="2160" w:hanging="360"/>
      </w:pPr>
      <w:rPr>
        <w:rFonts w:ascii="Arial" w:hAnsi="Arial" w:hint="default"/>
      </w:rPr>
    </w:lvl>
    <w:lvl w:ilvl="3" w:tplc="CD56F54E" w:tentative="1">
      <w:start w:val="1"/>
      <w:numFmt w:val="bullet"/>
      <w:lvlText w:val="•"/>
      <w:lvlJc w:val="left"/>
      <w:pPr>
        <w:tabs>
          <w:tab w:val="num" w:pos="2880"/>
        </w:tabs>
        <w:ind w:left="2880" w:hanging="360"/>
      </w:pPr>
      <w:rPr>
        <w:rFonts w:ascii="Arial" w:hAnsi="Arial" w:hint="default"/>
      </w:rPr>
    </w:lvl>
    <w:lvl w:ilvl="4" w:tplc="4006ADC6" w:tentative="1">
      <w:start w:val="1"/>
      <w:numFmt w:val="bullet"/>
      <w:lvlText w:val="•"/>
      <w:lvlJc w:val="left"/>
      <w:pPr>
        <w:tabs>
          <w:tab w:val="num" w:pos="3600"/>
        </w:tabs>
        <w:ind w:left="3600" w:hanging="360"/>
      </w:pPr>
      <w:rPr>
        <w:rFonts w:ascii="Arial" w:hAnsi="Arial" w:hint="default"/>
      </w:rPr>
    </w:lvl>
    <w:lvl w:ilvl="5" w:tplc="2BBAD8C4" w:tentative="1">
      <w:start w:val="1"/>
      <w:numFmt w:val="bullet"/>
      <w:lvlText w:val="•"/>
      <w:lvlJc w:val="left"/>
      <w:pPr>
        <w:tabs>
          <w:tab w:val="num" w:pos="4320"/>
        </w:tabs>
        <w:ind w:left="4320" w:hanging="360"/>
      </w:pPr>
      <w:rPr>
        <w:rFonts w:ascii="Arial" w:hAnsi="Arial" w:hint="default"/>
      </w:rPr>
    </w:lvl>
    <w:lvl w:ilvl="6" w:tplc="68DC18EC" w:tentative="1">
      <w:start w:val="1"/>
      <w:numFmt w:val="bullet"/>
      <w:lvlText w:val="•"/>
      <w:lvlJc w:val="left"/>
      <w:pPr>
        <w:tabs>
          <w:tab w:val="num" w:pos="5040"/>
        </w:tabs>
        <w:ind w:left="5040" w:hanging="360"/>
      </w:pPr>
      <w:rPr>
        <w:rFonts w:ascii="Arial" w:hAnsi="Arial" w:hint="default"/>
      </w:rPr>
    </w:lvl>
    <w:lvl w:ilvl="7" w:tplc="734823A6" w:tentative="1">
      <w:start w:val="1"/>
      <w:numFmt w:val="bullet"/>
      <w:lvlText w:val="•"/>
      <w:lvlJc w:val="left"/>
      <w:pPr>
        <w:tabs>
          <w:tab w:val="num" w:pos="5760"/>
        </w:tabs>
        <w:ind w:left="5760" w:hanging="360"/>
      </w:pPr>
      <w:rPr>
        <w:rFonts w:ascii="Arial" w:hAnsi="Arial" w:hint="default"/>
      </w:rPr>
    </w:lvl>
    <w:lvl w:ilvl="8" w:tplc="227E8B0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EA27E80"/>
    <w:multiLevelType w:val="hybridMultilevel"/>
    <w:tmpl w:val="5EB0E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B13A83"/>
    <w:multiLevelType w:val="multilevel"/>
    <w:tmpl w:val="F8C89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6440F6"/>
    <w:multiLevelType w:val="hybridMultilevel"/>
    <w:tmpl w:val="C02A92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6AD18AD"/>
    <w:multiLevelType w:val="hybridMultilevel"/>
    <w:tmpl w:val="57888A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B925DD3"/>
    <w:multiLevelType w:val="hybridMultilevel"/>
    <w:tmpl w:val="5106A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4123067">
    <w:abstractNumId w:val="3"/>
  </w:num>
  <w:num w:numId="2" w16cid:durableId="444931310">
    <w:abstractNumId w:val="19"/>
  </w:num>
  <w:num w:numId="3" w16cid:durableId="1492142410">
    <w:abstractNumId w:val="17"/>
  </w:num>
  <w:num w:numId="4" w16cid:durableId="1005354595">
    <w:abstractNumId w:val="4"/>
  </w:num>
  <w:num w:numId="5" w16cid:durableId="1491367375">
    <w:abstractNumId w:val="9"/>
  </w:num>
  <w:num w:numId="6" w16cid:durableId="1150515784">
    <w:abstractNumId w:val="1"/>
  </w:num>
  <w:num w:numId="7" w16cid:durableId="1260868151">
    <w:abstractNumId w:val="5"/>
  </w:num>
  <w:num w:numId="8" w16cid:durableId="769010413">
    <w:abstractNumId w:val="15"/>
  </w:num>
  <w:num w:numId="9" w16cid:durableId="454566326">
    <w:abstractNumId w:val="11"/>
  </w:num>
  <w:num w:numId="10" w16cid:durableId="373694291">
    <w:abstractNumId w:val="0"/>
  </w:num>
  <w:num w:numId="11" w16cid:durableId="1530410671">
    <w:abstractNumId w:val="10"/>
  </w:num>
  <w:num w:numId="12" w16cid:durableId="1185561201">
    <w:abstractNumId w:val="18"/>
  </w:num>
  <w:num w:numId="13" w16cid:durableId="159318993">
    <w:abstractNumId w:val="6"/>
  </w:num>
  <w:num w:numId="14" w16cid:durableId="1653216591">
    <w:abstractNumId w:val="16"/>
  </w:num>
  <w:num w:numId="15" w16cid:durableId="1565217473">
    <w:abstractNumId w:val="12"/>
  </w:num>
  <w:num w:numId="16" w16cid:durableId="1265846155">
    <w:abstractNumId w:val="8"/>
  </w:num>
  <w:num w:numId="17" w16cid:durableId="1829711303">
    <w:abstractNumId w:val="13"/>
  </w:num>
  <w:num w:numId="18" w16cid:durableId="1244028000">
    <w:abstractNumId w:val="2"/>
  </w:num>
  <w:num w:numId="19" w16cid:durableId="1208958229">
    <w:abstractNumId w:val="14"/>
  </w:num>
  <w:num w:numId="20" w16cid:durableId="15468686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Zul Hakim Bin Jumat">
    <w15:presenceInfo w15:providerId="AD" w15:userId="S::zhakim@hbku.edu.qa::f0a8a117-c2fb-4330-b2f7-810c3ed4e8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A5"/>
    <w:rsid w:val="00005219"/>
    <w:rsid w:val="00012606"/>
    <w:rsid w:val="00045031"/>
    <w:rsid w:val="00086031"/>
    <w:rsid w:val="0009551C"/>
    <w:rsid w:val="000A3BE9"/>
    <w:rsid w:val="000E7F33"/>
    <w:rsid w:val="00100646"/>
    <w:rsid w:val="001270F1"/>
    <w:rsid w:val="00142C9F"/>
    <w:rsid w:val="001472C3"/>
    <w:rsid w:val="00191984"/>
    <w:rsid w:val="001957D0"/>
    <w:rsid w:val="001A3AA9"/>
    <w:rsid w:val="001C4D4A"/>
    <w:rsid w:val="001C5650"/>
    <w:rsid w:val="00230BEF"/>
    <w:rsid w:val="0023488F"/>
    <w:rsid w:val="00242026"/>
    <w:rsid w:val="00265EEB"/>
    <w:rsid w:val="00282185"/>
    <w:rsid w:val="002A20FB"/>
    <w:rsid w:val="002A68FF"/>
    <w:rsid w:val="002A73E0"/>
    <w:rsid w:val="002B6F71"/>
    <w:rsid w:val="002D1556"/>
    <w:rsid w:val="002D5AC3"/>
    <w:rsid w:val="002D6B8A"/>
    <w:rsid w:val="002E1204"/>
    <w:rsid w:val="002F7215"/>
    <w:rsid w:val="00303203"/>
    <w:rsid w:val="0032027D"/>
    <w:rsid w:val="0033114B"/>
    <w:rsid w:val="00342376"/>
    <w:rsid w:val="003455F1"/>
    <w:rsid w:val="00356F0D"/>
    <w:rsid w:val="00393141"/>
    <w:rsid w:val="003A23B2"/>
    <w:rsid w:val="003B7B87"/>
    <w:rsid w:val="003C20B2"/>
    <w:rsid w:val="003F1163"/>
    <w:rsid w:val="003F6559"/>
    <w:rsid w:val="0047122B"/>
    <w:rsid w:val="00485CA8"/>
    <w:rsid w:val="004C13DC"/>
    <w:rsid w:val="004C1BA7"/>
    <w:rsid w:val="004D79A5"/>
    <w:rsid w:val="004E0520"/>
    <w:rsid w:val="004F38FF"/>
    <w:rsid w:val="004F626E"/>
    <w:rsid w:val="00505995"/>
    <w:rsid w:val="00525C5F"/>
    <w:rsid w:val="00534B66"/>
    <w:rsid w:val="00540A99"/>
    <w:rsid w:val="005544C3"/>
    <w:rsid w:val="00567D81"/>
    <w:rsid w:val="00570259"/>
    <w:rsid w:val="0059111C"/>
    <w:rsid w:val="0059500A"/>
    <w:rsid w:val="0061078C"/>
    <w:rsid w:val="00624691"/>
    <w:rsid w:val="006322F5"/>
    <w:rsid w:val="00650CEB"/>
    <w:rsid w:val="00665090"/>
    <w:rsid w:val="006B425B"/>
    <w:rsid w:val="006E4397"/>
    <w:rsid w:val="00742432"/>
    <w:rsid w:val="00764728"/>
    <w:rsid w:val="007B38CF"/>
    <w:rsid w:val="007B457C"/>
    <w:rsid w:val="007D4E76"/>
    <w:rsid w:val="007F5507"/>
    <w:rsid w:val="00814D11"/>
    <w:rsid w:val="008A5246"/>
    <w:rsid w:val="00906392"/>
    <w:rsid w:val="009355C0"/>
    <w:rsid w:val="00966334"/>
    <w:rsid w:val="00970DA0"/>
    <w:rsid w:val="00985D5B"/>
    <w:rsid w:val="009A63A9"/>
    <w:rsid w:val="009A7823"/>
    <w:rsid w:val="009B4072"/>
    <w:rsid w:val="00A0210B"/>
    <w:rsid w:val="00A26242"/>
    <w:rsid w:val="00A32904"/>
    <w:rsid w:val="00A400CD"/>
    <w:rsid w:val="00A41D5C"/>
    <w:rsid w:val="00A42F76"/>
    <w:rsid w:val="00A7428A"/>
    <w:rsid w:val="00AD26EC"/>
    <w:rsid w:val="00B0686F"/>
    <w:rsid w:val="00B12DBD"/>
    <w:rsid w:val="00BC076B"/>
    <w:rsid w:val="00BC4318"/>
    <w:rsid w:val="00BF39D3"/>
    <w:rsid w:val="00C21EBF"/>
    <w:rsid w:val="00C30E70"/>
    <w:rsid w:val="00C31329"/>
    <w:rsid w:val="00C627C3"/>
    <w:rsid w:val="00C8312F"/>
    <w:rsid w:val="00CA445D"/>
    <w:rsid w:val="00CC2889"/>
    <w:rsid w:val="00CF16C9"/>
    <w:rsid w:val="00D14128"/>
    <w:rsid w:val="00D22AF9"/>
    <w:rsid w:val="00D234C8"/>
    <w:rsid w:val="00D52B9C"/>
    <w:rsid w:val="00D6171D"/>
    <w:rsid w:val="00DB47B4"/>
    <w:rsid w:val="00DC1043"/>
    <w:rsid w:val="00DD35B9"/>
    <w:rsid w:val="00DF653C"/>
    <w:rsid w:val="00E57968"/>
    <w:rsid w:val="00E726A8"/>
    <w:rsid w:val="00E91B7A"/>
    <w:rsid w:val="00EC7F93"/>
    <w:rsid w:val="00EF49E3"/>
    <w:rsid w:val="00F01107"/>
    <w:rsid w:val="00F456D7"/>
    <w:rsid w:val="00F47F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E2BF"/>
  <w15:chartTrackingRefBased/>
  <w15:docId w15:val="{39A25FCA-6ADF-5443-966C-0BAF3D65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0F1"/>
    <w:rPr>
      <w:rFonts w:ascii="Times New Roman" w:eastAsia="Times New Roman" w:hAnsi="Times New Roman" w:cs="Times New Roman"/>
      <w:lang w:eastAsia="en-GB"/>
    </w:rPr>
  </w:style>
  <w:style w:type="paragraph" w:styleId="Heading2">
    <w:name w:val="heading 2"/>
    <w:basedOn w:val="Normal"/>
    <w:next w:val="Normal"/>
    <w:link w:val="Heading2Char"/>
    <w:uiPriority w:val="9"/>
    <w:semiHidden/>
    <w:unhideWhenUsed/>
    <w:qFormat/>
    <w:rsid w:val="00650CEB"/>
    <w:pPr>
      <w:keepNext/>
      <w:keepLines/>
      <w:spacing w:before="40"/>
      <w:outlineLvl w:val="1"/>
    </w:pPr>
    <w:rPr>
      <w:rFonts w:asciiTheme="majorHAnsi" w:eastAsiaTheme="majorEastAsia" w:hAnsiTheme="majorHAnsi" w:cstheme="majorBidi"/>
      <w:color w:val="2F5496" w:themeColor="accent1" w:themeShade="BF"/>
      <w:sz w:val="26"/>
      <w:szCs w:val="26"/>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9A5"/>
    <w:rPr>
      <w:rFonts w:cs="Times New Roman"/>
      <w:color w:val="0000FF"/>
      <w:u w:val="single"/>
    </w:rPr>
  </w:style>
  <w:style w:type="paragraph" w:styleId="FootnoteText">
    <w:name w:val="footnote text"/>
    <w:basedOn w:val="Normal"/>
    <w:link w:val="FootnoteTextChar"/>
    <w:uiPriority w:val="99"/>
    <w:unhideWhenUsed/>
    <w:rsid w:val="004D79A5"/>
    <w:rPr>
      <w:rFonts w:asciiTheme="minorHAnsi" w:eastAsiaTheme="minorHAnsi" w:hAnsiTheme="minorHAnsi" w:cstheme="minorBidi"/>
      <w:sz w:val="20"/>
      <w:szCs w:val="20"/>
      <w:lang w:val="en-GB" w:eastAsia="en-US"/>
    </w:rPr>
  </w:style>
  <w:style w:type="character" w:customStyle="1" w:styleId="FootnoteTextChar">
    <w:name w:val="Footnote Text Char"/>
    <w:basedOn w:val="DefaultParagraphFont"/>
    <w:link w:val="FootnoteText"/>
    <w:uiPriority w:val="99"/>
    <w:rsid w:val="004D79A5"/>
    <w:rPr>
      <w:sz w:val="20"/>
      <w:szCs w:val="20"/>
      <w:lang w:val="en-GB"/>
    </w:rPr>
  </w:style>
  <w:style w:type="character" w:styleId="FootnoteReference">
    <w:name w:val="footnote reference"/>
    <w:basedOn w:val="DefaultParagraphFont"/>
    <w:uiPriority w:val="99"/>
    <w:unhideWhenUsed/>
    <w:rsid w:val="004D79A5"/>
    <w:rPr>
      <w:vertAlign w:val="superscript"/>
    </w:rPr>
  </w:style>
  <w:style w:type="paragraph" w:styleId="ListParagraph">
    <w:name w:val="List Paragraph"/>
    <w:basedOn w:val="Normal"/>
    <w:uiPriority w:val="34"/>
    <w:qFormat/>
    <w:rsid w:val="009355C0"/>
    <w:pPr>
      <w:ind w:left="720"/>
      <w:contextualSpacing/>
    </w:pPr>
    <w:rPr>
      <w:rFonts w:asciiTheme="minorHAnsi" w:eastAsiaTheme="minorHAnsi" w:hAnsiTheme="minorHAnsi" w:cstheme="minorBidi"/>
      <w:lang w:val="en-SG" w:eastAsia="en-US"/>
    </w:rPr>
  </w:style>
  <w:style w:type="paragraph" w:styleId="Footer">
    <w:name w:val="footer"/>
    <w:basedOn w:val="Normal"/>
    <w:link w:val="FooterChar"/>
    <w:uiPriority w:val="99"/>
    <w:unhideWhenUsed/>
    <w:rsid w:val="00CF16C9"/>
    <w:pPr>
      <w:tabs>
        <w:tab w:val="center" w:pos="4680"/>
        <w:tab w:val="right" w:pos="9360"/>
      </w:tabs>
    </w:pPr>
    <w:rPr>
      <w:rFonts w:asciiTheme="minorHAnsi" w:eastAsiaTheme="minorHAnsi" w:hAnsiTheme="minorHAnsi" w:cstheme="minorBidi"/>
      <w:lang w:val="en-SG" w:eastAsia="en-US"/>
    </w:rPr>
  </w:style>
  <w:style w:type="character" w:customStyle="1" w:styleId="FooterChar">
    <w:name w:val="Footer Char"/>
    <w:basedOn w:val="DefaultParagraphFont"/>
    <w:link w:val="Footer"/>
    <w:uiPriority w:val="99"/>
    <w:rsid w:val="00CF16C9"/>
    <w:rPr>
      <w:lang w:val="en-SG"/>
    </w:rPr>
  </w:style>
  <w:style w:type="character" w:styleId="PageNumber">
    <w:name w:val="page number"/>
    <w:basedOn w:val="DefaultParagraphFont"/>
    <w:uiPriority w:val="99"/>
    <w:semiHidden/>
    <w:unhideWhenUsed/>
    <w:rsid w:val="00CF16C9"/>
  </w:style>
  <w:style w:type="character" w:styleId="CommentReference">
    <w:name w:val="annotation reference"/>
    <w:basedOn w:val="DefaultParagraphFont"/>
    <w:uiPriority w:val="99"/>
    <w:semiHidden/>
    <w:unhideWhenUsed/>
    <w:rsid w:val="003A23B2"/>
    <w:rPr>
      <w:sz w:val="16"/>
      <w:szCs w:val="16"/>
    </w:rPr>
  </w:style>
  <w:style w:type="paragraph" w:styleId="CommentText">
    <w:name w:val="annotation text"/>
    <w:basedOn w:val="Normal"/>
    <w:link w:val="CommentTextChar"/>
    <w:uiPriority w:val="99"/>
    <w:semiHidden/>
    <w:unhideWhenUsed/>
    <w:rsid w:val="003A23B2"/>
    <w:rPr>
      <w:rFonts w:asciiTheme="minorHAnsi" w:eastAsiaTheme="minorHAnsi" w:hAnsiTheme="minorHAnsi" w:cstheme="minorBidi"/>
      <w:sz w:val="20"/>
      <w:szCs w:val="20"/>
      <w:lang w:val="en-SG" w:eastAsia="en-US"/>
    </w:rPr>
  </w:style>
  <w:style w:type="character" w:customStyle="1" w:styleId="CommentTextChar">
    <w:name w:val="Comment Text Char"/>
    <w:basedOn w:val="DefaultParagraphFont"/>
    <w:link w:val="CommentText"/>
    <w:uiPriority w:val="99"/>
    <w:semiHidden/>
    <w:rsid w:val="003A23B2"/>
    <w:rPr>
      <w:sz w:val="20"/>
      <w:szCs w:val="20"/>
      <w:lang w:val="en-SG"/>
    </w:rPr>
  </w:style>
  <w:style w:type="paragraph" w:styleId="CommentSubject">
    <w:name w:val="annotation subject"/>
    <w:basedOn w:val="CommentText"/>
    <w:next w:val="CommentText"/>
    <w:link w:val="CommentSubjectChar"/>
    <w:uiPriority w:val="99"/>
    <w:semiHidden/>
    <w:unhideWhenUsed/>
    <w:rsid w:val="003A23B2"/>
    <w:rPr>
      <w:b/>
      <w:bCs/>
    </w:rPr>
  </w:style>
  <w:style w:type="character" w:customStyle="1" w:styleId="CommentSubjectChar">
    <w:name w:val="Comment Subject Char"/>
    <w:basedOn w:val="CommentTextChar"/>
    <w:link w:val="CommentSubject"/>
    <w:uiPriority w:val="99"/>
    <w:semiHidden/>
    <w:rsid w:val="003A23B2"/>
    <w:rPr>
      <w:b/>
      <w:bCs/>
      <w:sz w:val="20"/>
      <w:szCs w:val="20"/>
      <w:lang w:val="en-SG"/>
    </w:rPr>
  </w:style>
  <w:style w:type="paragraph" w:styleId="BalloonText">
    <w:name w:val="Balloon Text"/>
    <w:basedOn w:val="Normal"/>
    <w:link w:val="BalloonTextChar"/>
    <w:uiPriority w:val="99"/>
    <w:semiHidden/>
    <w:unhideWhenUsed/>
    <w:rsid w:val="003A23B2"/>
    <w:rPr>
      <w:rFonts w:eastAsiaTheme="minorHAnsi"/>
      <w:sz w:val="18"/>
      <w:szCs w:val="18"/>
      <w:lang w:val="en-SG" w:eastAsia="en-US"/>
    </w:rPr>
  </w:style>
  <w:style w:type="character" w:customStyle="1" w:styleId="BalloonTextChar">
    <w:name w:val="Balloon Text Char"/>
    <w:basedOn w:val="DefaultParagraphFont"/>
    <w:link w:val="BalloonText"/>
    <w:uiPriority w:val="99"/>
    <w:semiHidden/>
    <w:rsid w:val="003A23B2"/>
    <w:rPr>
      <w:rFonts w:ascii="Times New Roman" w:hAnsi="Times New Roman" w:cs="Times New Roman"/>
      <w:sz w:val="18"/>
      <w:szCs w:val="18"/>
      <w:lang w:val="en-SG"/>
    </w:rPr>
  </w:style>
  <w:style w:type="character" w:customStyle="1" w:styleId="Heading2Char">
    <w:name w:val="Heading 2 Char"/>
    <w:basedOn w:val="DefaultParagraphFont"/>
    <w:link w:val="Heading2"/>
    <w:uiPriority w:val="9"/>
    <w:semiHidden/>
    <w:rsid w:val="00650CEB"/>
    <w:rPr>
      <w:rFonts w:asciiTheme="majorHAnsi" w:eastAsiaTheme="majorEastAsia" w:hAnsiTheme="majorHAnsi" w:cstheme="majorBidi"/>
      <w:color w:val="2F5496" w:themeColor="accent1" w:themeShade="BF"/>
      <w:sz w:val="26"/>
      <w:szCs w:val="26"/>
      <w:lang w:eastAsia="en-GB"/>
    </w:rPr>
  </w:style>
  <w:style w:type="table" w:styleId="PlainTable3">
    <w:name w:val="Plain Table 3"/>
    <w:basedOn w:val="TableNormal"/>
    <w:uiPriority w:val="43"/>
    <w:rsid w:val="00650CEB"/>
    <w:rPr>
      <w:lang w:val="en-SG"/>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unhideWhenUsed/>
    <w:rsid w:val="00650CEB"/>
    <w:pPr>
      <w:spacing w:before="100" w:beforeAutospacing="1" w:after="100" w:afterAutospacing="1"/>
    </w:pPr>
    <w:rPr>
      <w:lang w:val="en-SG"/>
    </w:rPr>
  </w:style>
  <w:style w:type="table" w:styleId="GridTable5Dark-Accent3">
    <w:name w:val="Grid Table 5 Dark Accent 3"/>
    <w:basedOn w:val="TableNormal"/>
    <w:uiPriority w:val="50"/>
    <w:rsid w:val="00570259"/>
    <w:rPr>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FollowedHyperlink">
    <w:name w:val="FollowedHyperlink"/>
    <w:basedOn w:val="DefaultParagraphFont"/>
    <w:uiPriority w:val="99"/>
    <w:semiHidden/>
    <w:unhideWhenUsed/>
    <w:rsid w:val="002B6F71"/>
    <w:rPr>
      <w:color w:val="954F72" w:themeColor="followedHyperlink"/>
      <w:u w:val="single"/>
    </w:rPr>
  </w:style>
  <w:style w:type="character" w:styleId="UnresolvedMention">
    <w:name w:val="Unresolved Mention"/>
    <w:basedOn w:val="DefaultParagraphFont"/>
    <w:uiPriority w:val="99"/>
    <w:semiHidden/>
    <w:unhideWhenUsed/>
    <w:rsid w:val="00906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528356">
      <w:bodyDiv w:val="1"/>
      <w:marLeft w:val="0"/>
      <w:marRight w:val="0"/>
      <w:marTop w:val="0"/>
      <w:marBottom w:val="0"/>
      <w:divBdr>
        <w:top w:val="none" w:sz="0" w:space="0" w:color="auto"/>
        <w:left w:val="none" w:sz="0" w:space="0" w:color="auto"/>
        <w:bottom w:val="none" w:sz="0" w:space="0" w:color="auto"/>
        <w:right w:val="none" w:sz="0" w:space="0" w:color="auto"/>
      </w:divBdr>
      <w:divsChild>
        <w:div w:id="685406567">
          <w:marLeft w:val="0"/>
          <w:marRight w:val="0"/>
          <w:marTop w:val="0"/>
          <w:marBottom w:val="0"/>
          <w:divBdr>
            <w:top w:val="none" w:sz="0" w:space="0" w:color="auto"/>
            <w:left w:val="none" w:sz="0" w:space="0" w:color="auto"/>
            <w:bottom w:val="none" w:sz="0" w:space="0" w:color="auto"/>
            <w:right w:val="none" w:sz="0" w:space="0" w:color="auto"/>
          </w:divBdr>
        </w:div>
      </w:divsChild>
    </w:div>
    <w:div w:id="1192380853">
      <w:bodyDiv w:val="1"/>
      <w:marLeft w:val="0"/>
      <w:marRight w:val="0"/>
      <w:marTop w:val="0"/>
      <w:marBottom w:val="0"/>
      <w:divBdr>
        <w:top w:val="none" w:sz="0" w:space="0" w:color="auto"/>
        <w:left w:val="none" w:sz="0" w:space="0" w:color="auto"/>
        <w:bottom w:val="none" w:sz="0" w:space="0" w:color="auto"/>
        <w:right w:val="none" w:sz="0" w:space="0" w:color="auto"/>
      </w:divBdr>
    </w:div>
    <w:div w:id="1223174650">
      <w:bodyDiv w:val="1"/>
      <w:marLeft w:val="0"/>
      <w:marRight w:val="0"/>
      <w:marTop w:val="0"/>
      <w:marBottom w:val="0"/>
      <w:divBdr>
        <w:top w:val="none" w:sz="0" w:space="0" w:color="auto"/>
        <w:left w:val="none" w:sz="0" w:space="0" w:color="auto"/>
        <w:bottom w:val="none" w:sz="0" w:space="0" w:color="auto"/>
        <w:right w:val="none" w:sz="0" w:space="0" w:color="auto"/>
      </w:divBdr>
    </w:div>
    <w:div w:id="1983194257">
      <w:bodyDiv w:val="1"/>
      <w:marLeft w:val="0"/>
      <w:marRight w:val="0"/>
      <w:marTop w:val="0"/>
      <w:marBottom w:val="0"/>
      <w:divBdr>
        <w:top w:val="none" w:sz="0" w:space="0" w:color="auto"/>
        <w:left w:val="none" w:sz="0" w:space="0" w:color="auto"/>
        <w:bottom w:val="none" w:sz="0" w:space="0" w:color="auto"/>
        <w:right w:val="none" w:sz="0" w:space="0" w:color="auto"/>
      </w:divBdr>
    </w:div>
    <w:div w:id="212842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isdb.org/news/unicef-and-the-islamic-development-bank-launch-first-global-muslim-philanthropy-fund-for-children"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isdb.org/news/unicef-and-the-islamic-development-bank-launch-first-global-muslim-philanthropy-fund-for-childre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islamic-relief.org/climate-champions-islamic-reliefs-global-climate-action/" TargetMode="External"/><Relationship Id="rId2" Type="http://schemas.openxmlformats.org/officeDocument/2006/relationships/hyperlink" Target="https://www.launchgood.com/projects/" TargetMode="External"/><Relationship Id="rId1" Type="http://schemas.openxmlformats.org/officeDocument/2006/relationships/hyperlink" Target="https://www.launchgood.com/projects/search_projects?search=covid-19" TargetMode="External"/><Relationship Id="rId6" Type="http://schemas.openxmlformats.org/officeDocument/2006/relationships/hyperlink" Target="https://www.muslimaid.org/appeals/education-forever/" TargetMode="External"/><Relationship Id="rId5" Type="http://schemas.openxmlformats.org/officeDocument/2006/relationships/hyperlink" Target="https://www.islamic-relief.org/category/what-we-do/microfinance-and-livelihoods/" TargetMode="External"/><Relationship Id="rId4" Type="http://schemas.openxmlformats.org/officeDocument/2006/relationships/hyperlink" Target="https://www.muslimglobalrelief.org/w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113A0-8556-9E4C-BAA5-1E1821B76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6575</Words>
  <Characters>37484</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Syed Ali</cp:lastModifiedBy>
  <cp:revision>2</cp:revision>
  <dcterms:created xsi:type="dcterms:W3CDTF">2025-06-11T18:57:00Z</dcterms:created>
  <dcterms:modified xsi:type="dcterms:W3CDTF">2025-06-11T18:57:00Z</dcterms:modified>
</cp:coreProperties>
</file>